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FA" w:rsidRDefault="00CE62FA" w:rsidP="008F0682">
      <w:pPr>
        <w:spacing w:line="276" w:lineRule="auto"/>
        <w:rPr>
          <w:rFonts w:asciiTheme="minorHAnsi" w:hAnsiTheme="minorHAnsi"/>
          <w:color w:val="000000" w:themeColor="text1"/>
        </w:rPr>
      </w:pPr>
    </w:p>
    <w:p w:rsidR="00F778ED" w:rsidRPr="000473DD" w:rsidRDefault="007101A3" w:rsidP="00A75339">
      <w:pPr>
        <w:spacing w:line="276" w:lineRule="auto"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Questions #10 and #11 for the May CLASS report</w:t>
      </w:r>
      <w:r w:rsidR="0072196C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AA7BDB" w:rsidRPr="000473DD">
        <w:rPr>
          <w:rFonts w:ascii="Calibri" w:hAnsi="Calibri"/>
          <w:color w:val="000000" w:themeColor="text1"/>
          <w:lang w:bidi="en-US"/>
        </w:rPr>
        <w:t>focuse</w:t>
      </w:r>
      <w:r w:rsidR="0072196C" w:rsidRPr="000473DD">
        <w:rPr>
          <w:rFonts w:ascii="Calibri" w:hAnsi="Calibri"/>
          <w:color w:val="000000" w:themeColor="text1"/>
          <w:lang w:bidi="en-US"/>
        </w:rPr>
        <w:t>d</w:t>
      </w:r>
      <w:r w:rsidR="00AA7BDB" w:rsidRPr="000473DD">
        <w:rPr>
          <w:rFonts w:ascii="Calibri" w:hAnsi="Calibri"/>
          <w:color w:val="000000" w:themeColor="text1"/>
          <w:lang w:bidi="en-US"/>
        </w:rPr>
        <w:t xml:space="preserve"> on those students who </w:t>
      </w:r>
      <w:r w:rsidRPr="000473DD">
        <w:rPr>
          <w:rFonts w:ascii="Calibri" w:hAnsi="Calibri"/>
          <w:color w:val="000000" w:themeColor="text1"/>
          <w:lang w:bidi="en-US"/>
        </w:rPr>
        <w:t>were assessed</w:t>
      </w:r>
      <w:r w:rsidR="00AA7BDB" w:rsidRPr="000473DD">
        <w:rPr>
          <w:rFonts w:ascii="Calibri" w:hAnsi="Calibri"/>
          <w:color w:val="000000" w:themeColor="text1"/>
          <w:lang w:bidi="en-US"/>
        </w:rPr>
        <w:t xml:space="preserve"> into pre</w:t>
      </w:r>
      <w:r w:rsidR="00D45913" w:rsidRPr="000473DD">
        <w:rPr>
          <w:rFonts w:ascii="Calibri" w:hAnsi="Calibri"/>
          <w:color w:val="000000" w:themeColor="text1"/>
          <w:lang w:bidi="en-US"/>
        </w:rPr>
        <w:t>-collegiate math and/or English</w:t>
      </w:r>
      <w:r w:rsidR="00AA7BDB" w:rsidRPr="000473DD">
        <w:rPr>
          <w:rFonts w:ascii="Calibri" w:hAnsi="Calibri"/>
          <w:color w:val="000000" w:themeColor="text1"/>
          <w:lang w:bidi="en-US"/>
        </w:rPr>
        <w:t xml:space="preserve"> and subsequently took any of four “gateway” courses: English 110 (</w:t>
      </w:r>
      <w:r w:rsidR="00D325EF" w:rsidRPr="000473DD">
        <w:rPr>
          <w:rFonts w:ascii="Calibri" w:hAnsi="Calibri"/>
          <w:color w:val="000000" w:themeColor="text1"/>
          <w:lang w:bidi="en-US"/>
        </w:rPr>
        <w:t>College</w:t>
      </w:r>
      <w:r w:rsidR="00AA7BDB" w:rsidRPr="000473DD">
        <w:rPr>
          <w:rFonts w:ascii="Calibri" w:hAnsi="Calibri"/>
          <w:color w:val="000000" w:themeColor="text1"/>
          <w:lang w:bidi="en-US"/>
        </w:rPr>
        <w:t xml:space="preserve"> Composition), Math 175 (College Algebra), History 108 (Early American History), or History 109 (Modern American History).</w:t>
      </w:r>
      <w:r w:rsidR="00CD4316" w:rsidRPr="000473DD">
        <w:rPr>
          <w:rFonts w:ascii="Calibri" w:hAnsi="Calibri"/>
          <w:color w:val="000000" w:themeColor="text1"/>
          <w:lang w:bidi="en-US"/>
        </w:rPr>
        <w:t xml:space="preserve">  </w:t>
      </w:r>
      <w:r w:rsidR="006A2529" w:rsidRPr="000473DD">
        <w:rPr>
          <w:rFonts w:ascii="Calibri" w:hAnsi="Calibri"/>
          <w:color w:val="000000" w:themeColor="text1"/>
          <w:lang w:bidi="en-US"/>
        </w:rPr>
        <w:t>Gateway</w:t>
      </w:r>
      <w:r w:rsidR="00C4614B" w:rsidRPr="000473DD">
        <w:rPr>
          <w:rFonts w:ascii="Calibri" w:hAnsi="Calibri"/>
          <w:color w:val="000000" w:themeColor="text1"/>
          <w:lang w:bidi="en-US"/>
        </w:rPr>
        <w:t xml:space="preserve"> courses were identified by </w:t>
      </w:r>
      <w:r w:rsidR="00CD4316" w:rsidRPr="000473DD">
        <w:rPr>
          <w:rFonts w:ascii="Calibri" w:hAnsi="Calibri"/>
          <w:color w:val="000000" w:themeColor="text1"/>
          <w:lang w:bidi="en-US"/>
        </w:rPr>
        <w:t xml:space="preserve">departments based on </w:t>
      </w:r>
      <w:r w:rsidR="006A2529" w:rsidRPr="000473DD">
        <w:rPr>
          <w:rFonts w:ascii="Calibri" w:hAnsi="Calibri"/>
          <w:color w:val="000000" w:themeColor="text1"/>
          <w:lang w:bidi="en-US"/>
        </w:rPr>
        <w:t>criteria provided by the CLASS project</w:t>
      </w:r>
      <w:r w:rsidR="00CD4316" w:rsidRPr="000473DD">
        <w:rPr>
          <w:rFonts w:ascii="Calibri" w:hAnsi="Calibri"/>
          <w:color w:val="000000" w:themeColor="text1"/>
          <w:lang w:bidi="en-US"/>
        </w:rPr>
        <w:t>.</w:t>
      </w:r>
    </w:p>
    <w:p w:rsidR="0072196C" w:rsidRPr="000473DD" w:rsidRDefault="0072196C" w:rsidP="00A75339">
      <w:pPr>
        <w:spacing w:line="276" w:lineRule="auto"/>
        <w:rPr>
          <w:rFonts w:ascii="Calibri" w:hAnsi="Calibri"/>
          <w:color w:val="000000" w:themeColor="text1"/>
          <w:lang w:bidi="en-US"/>
        </w:rPr>
      </w:pPr>
    </w:p>
    <w:p w:rsidR="0072196C" w:rsidRPr="000473DD" w:rsidRDefault="0072196C" w:rsidP="00A75339">
      <w:pPr>
        <w:spacing w:line="276" w:lineRule="auto"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This </w:t>
      </w:r>
      <w:r w:rsidR="007101A3" w:rsidRPr="000473DD">
        <w:rPr>
          <w:rFonts w:ascii="Calibri" w:hAnsi="Calibri"/>
          <w:color w:val="000000" w:themeColor="text1"/>
          <w:lang w:bidi="en-US"/>
        </w:rPr>
        <w:t>addendum</w:t>
      </w:r>
      <w:r w:rsidRPr="000473DD">
        <w:rPr>
          <w:rFonts w:ascii="Calibri" w:hAnsi="Calibri"/>
          <w:color w:val="000000" w:themeColor="text1"/>
          <w:lang w:bidi="en-US"/>
        </w:rPr>
        <w:t xml:space="preserve"> focuses on students who were </w:t>
      </w:r>
      <w:r w:rsidR="00F50606" w:rsidRPr="000473DD">
        <w:rPr>
          <w:rFonts w:ascii="Calibri" w:hAnsi="Calibri"/>
          <w:color w:val="000000" w:themeColor="text1"/>
          <w:lang w:bidi="en-US"/>
        </w:rPr>
        <w:t>assessed</w:t>
      </w:r>
      <w:r w:rsidRPr="000473DD">
        <w:rPr>
          <w:rFonts w:ascii="Calibri" w:hAnsi="Calibri"/>
          <w:color w:val="000000" w:themeColor="text1"/>
          <w:lang w:bidi="en-US"/>
        </w:rPr>
        <w:t xml:space="preserve"> into pre-collegiate math (Math 90 or below) and subsequently took </w:t>
      </w:r>
      <w:r w:rsidRPr="000473DD">
        <w:rPr>
          <w:rFonts w:ascii="Calibri" w:hAnsi="Calibri"/>
          <w:color w:val="000000" w:themeColor="text1"/>
          <w:u w:val="single"/>
          <w:lang w:bidi="en-US"/>
        </w:rPr>
        <w:t>Math 103 or Math 110</w:t>
      </w:r>
      <w:r w:rsidRPr="000473DD">
        <w:rPr>
          <w:rFonts w:ascii="Calibri" w:hAnsi="Calibri"/>
          <w:color w:val="000000" w:themeColor="text1"/>
          <w:lang w:bidi="en-US"/>
        </w:rPr>
        <w:t>.</w:t>
      </w:r>
    </w:p>
    <w:p w:rsidR="00A75339" w:rsidRPr="000473DD" w:rsidRDefault="00A75339" w:rsidP="008F0682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F778ED" w:rsidRPr="000473DD" w:rsidRDefault="00413E8D" w:rsidP="008F0682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  <w:r w:rsidRPr="000473DD">
        <w:rPr>
          <w:rFonts w:ascii="Calibri" w:hAnsi="Calibri"/>
          <w:b/>
          <w:color w:val="000000" w:themeColor="text1"/>
          <w:u w:val="single"/>
          <w:lang w:bidi="en-US"/>
        </w:rPr>
        <w:t>CLASS Queries</w:t>
      </w:r>
    </w:p>
    <w:p w:rsidR="00457B96" w:rsidRPr="000473DD" w:rsidRDefault="00457B96" w:rsidP="008F0682">
      <w:pPr>
        <w:spacing w:line="276" w:lineRule="auto"/>
        <w:rPr>
          <w:rFonts w:ascii="Calibri" w:hAnsi="Calibri"/>
          <w:color w:val="000000" w:themeColor="text1"/>
          <w:lang w:bidi="en-US"/>
        </w:rPr>
      </w:pPr>
    </w:p>
    <w:p w:rsidR="006103B2" w:rsidRPr="000473DD" w:rsidRDefault="00CE0568" w:rsidP="00D44CE2">
      <w:pPr>
        <w:spacing w:line="276" w:lineRule="auto"/>
        <w:ind w:left="360" w:hanging="360"/>
        <w:contextualSpacing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10</w:t>
      </w:r>
      <w:r w:rsidR="008C7B84" w:rsidRPr="000473DD">
        <w:rPr>
          <w:rFonts w:ascii="Calibri" w:hAnsi="Calibri"/>
          <w:color w:val="000000" w:themeColor="text1"/>
          <w:lang w:bidi="en-US"/>
        </w:rPr>
        <w:t>.</w:t>
      </w:r>
      <w:r w:rsidR="008C7B84" w:rsidRPr="000473DD">
        <w:rPr>
          <w:rFonts w:ascii="Calibri" w:hAnsi="Calibri"/>
          <w:color w:val="000000" w:themeColor="text1"/>
          <w:lang w:bidi="en-US"/>
        </w:rPr>
        <w:tab/>
      </w:r>
      <w:r w:rsidRPr="000473DD">
        <w:rPr>
          <w:rFonts w:ascii="Calibri" w:hAnsi="Calibri"/>
          <w:color w:val="000000" w:themeColor="text1"/>
          <w:lang w:bidi="en-US"/>
        </w:rPr>
        <w:t xml:space="preserve">What is the rate of successful </w:t>
      </w:r>
      <w:r w:rsidRPr="000473DD">
        <w:rPr>
          <w:rFonts w:ascii="Calibri" w:hAnsi="Calibri"/>
          <w:b/>
          <w:color w:val="000000" w:themeColor="text1"/>
          <w:lang w:bidi="en-US"/>
        </w:rPr>
        <w:t>COLLEGIATE</w:t>
      </w:r>
      <w:r w:rsidRPr="000473DD">
        <w:rPr>
          <w:rFonts w:ascii="Calibri" w:hAnsi="Calibri"/>
          <w:color w:val="000000" w:themeColor="text1"/>
          <w:lang w:bidi="en-US"/>
        </w:rPr>
        <w:t xml:space="preserve"> gateway course completion for cohort students who were assessed as </w:t>
      </w:r>
      <w:r w:rsidRPr="000473DD">
        <w:rPr>
          <w:rFonts w:ascii="Calibri" w:hAnsi="Calibri"/>
          <w:b/>
          <w:color w:val="000000" w:themeColor="text1"/>
          <w:lang w:bidi="en-US"/>
        </w:rPr>
        <w:t>PRE-COLLEGIATE/BASIC SKILLS</w:t>
      </w:r>
      <w:r w:rsidRPr="000473DD">
        <w:rPr>
          <w:rFonts w:ascii="Calibri" w:hAnsi="Calibri"/>
          <w:color w:val="000000" w:themeColor="text1"/>
          <w:lang w:bidi="en-US"/>
        </w:rPr>
        <w:t xml:space="preserve"> students but </w:t>
      </w:r>
      <w:r w:rsidRPr="000473DD">
        <w:rPr>
          <w:rFonts w:ascii="Calibri" w:hAnsi="Calibri"/>
          <w:i/>
          <w:color w:val="000000" w:themeColor="text1"/>
          <w:lang w:bidi="en-US"/>
        </w:rPr>
        <w:t>bypassed</w:t>
      </w:r>
      <w:r w:rsidRPr="000473DD">
        <w:rPr>
          <w:rFonts w:ascii="Calibri" w:hAnsi="Calibri"/>
          <w:color w:val="000000" w:themeColor="text1"/>
          <w:lang w:bidi="en-US"/>
        </w:rPr>
        <w:t xml:space="preserve"> the RELATED </w:t>
      </w:r>
      <w:r w:rsidRPr="000473DD">
        <w:rPr>
          <w:rFonts w:ascii="Calibri" w:hAnsi="Calibri"/>
          <w:b/>
          <w:color w:val="000000" w:themeColor="text1"/>
          <w:lang w:bidi="en-US"/>
        </w:rPr>
        <w:t>PRE-COLLEGIATE/BASIC SKILLS</w:t>
      </w:r>
      <w:r w:rsidRPr="000473DD">
        <w:rPr>
          <w:rFonts w:ascii="Calibri" w:hAnsi="Calibri"/>
          <w:color w:val="000000" w:themeColor="text1"/>
          <w:lang w:bidi="en-US"/>
        </w:rPr>
        <w:t xml:space="preserve"> course sequence?  </w:t>
      </w:r>
      <w:r w:rsidR="00D44CE2" w:rsidRPr="000473DD">
        <w:rPr>
          <w:rFonts w:ascii="Calibri" w:hAnsi="Calibri"/>
          <w:color w:val="000000" w:themeColor="text1"/>
          <w:lang w:bidi="en-US"/>
        </w:rPr>
        <w:t xml:space="preserve">Disaggregate this percentage by race/ethnicity and gender, in addition to the rate for all cohort students.  </w:t>
      </w:r>
      <w:r w:rsidR="008A45EA" w:rsidRPr="000473DD">
        <w:rPr>
          <w:rFonts w:ascii="Calibri" w:hAnsi="Calibri"/>
          <w:color w:val="000000" w:themeColor="text1"/>
          <w:u w:val="single"/>
          <w:lang w:bidi="en-US"/>
        </w:rPr>
        <w:t xml:space="preserve">Note that this is </w:t>
      </w:r>
      <w:r w:rsidR="008A45EA" w:rsidRPr="000473DD">
        <w:rPr>
          <w:rFonts w:ascii="Calibri" w:hAnsi="Calibri"/>
          <w:b/>
          <w:color w:val="000000" w:themeColor="text1"/>
          <w:u w:val="single"/>
          <w:lang w:bidi="en-US"/>
        </w:rPr>
        <w:t>not</w:t>
      </w:r>
      <w:r w:rsidR="008A45EA" w:rsidRPr="000473DD">
        <w:rPr>
          <w:rFonts w:ascii="Calibri" w:hAnsi="Calibri"/>
          <w:color w:val="000000" w:themeColor="text1"/>
          <w:u w:val="single"/>
          <w:lang w:bidi="en-US"/>
        </w:rPr>
        <w:t xml:space="preserve"> the CLASS cohort.</w:t>
      </w:r>
      <w:r w:rsidR="00DB5365" w:rsidRPr="000473DD">
        <w:rPr>
          <w:rFonts w:ascii="Calibri" w:hAnsi="Calibri"/>
          <w:color w:val="000000" w:themeColor="text1"/>
          <w:u w:val="single"/>
          <w:lang w:bidi="en-US"/>
        </w:rPr>
        <w:t xml:space="preserve">  </w:t>
      </w:r>
    </w:p>
    <w:p w:rsidR="00550CC8" w:rsidRPr="000473DD" w:rsidRDefault="00550CC8" w:rsidP="008F0682">
      <w:pPr>
        <w:spacing w:line="276" w:lineRule="auto"/>
        <w:rPr>
          <w:rFonts w:ascii="Calibri" w:hAnsi="Calibri"/>
          <w:color w:val="000000" w:themeColor="text1"/>
          <w:lang w:bidi="en-US"/>
        </w:rPr>
      </w:pPr>
    </w:p>
    <w:p w:rsidR="00CE0568" w:rsidRPr="000473DD" w:rsidRDefault="00CE0568" w:rsidP="00CE0568">
      <w:pPr>
        <w:spacing w:line="276" w:lineRule="auto"/>
        <w:ind w:left="360" w:hanging="360"/>
        <w:contextualSpacing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11.</w:t>
      </w:r>
      <w:r w:rsidRPr="000473DD">
        <w:rPr>
          <w:rFonts w:ascii="Calibri" w:hAnsi="Calibri"/>
          <w:color w:val="000000" w:themeColor="text1"/>
          <w:lang w:bidi="en-US"/>
        </w:rPr>
        <w:tab/>
        <w:t xml:space="preserve">How does that rate (#10 above) compare with the rate of successful </w:t>
      </w:r>
      <w:r w:rsidRPr="000473DD">
        <w:rPr>
          <w:rFonts w:ascii="Calibri" w:hAnsi="Calibri"/>
          <w:b/>
          <w:color w:val="000000" w:themeColor="text1"/>
          <w:lang w:bidi="en-US"/>
        </w:rPr>
        <w:t>COLLEGIATE</w:t>
      </w:r>
      <w:r w:rsidRPr="000473DD">
        <w:rPr>
          <w:rFonts w:ascii="Calibri" w:hAnsi="Calibri"/>
          <w:color w:val="000000" w:themeColor="text1"/>
          <w:lang w:bidi="en-US"/>
        </w:rPr>
        <w:t xml:space="preserve"> course completion for cohort students who were assessed as a </w:t>
      </w:r>
      <w:r w:rsidRPr="000473DD">
        <w:rPr>
          <w:rFonts w:ascii="Calibri" w:hAnsi="Calibri"/>
          <w:b/>
          <w:color w:val="000000" w:themeColor="text1"/>
          <w:lang w:bidi="en-US"/>
        </w:rPr>
        <w:t>PRE-COLLEGIATE/BASIC SKILLS</w:t>
      </w:r>
      <w:r w:rsidRPr="000473DD">
        <w:rPr>
          <w:rFonts w:ascii="Calibri" w:hAnsi="Calibri"/>
          <w:color w:val="000000" w:themeColor="text1"/>
          <w:lang w:bidi="en-US"/>
        </w:rPr>
        <w:t xml:space="preserve"> student and </w:t>
      </w:r>
      <w:r w:rsidRPr="000473DD">
        <w:rPr>
          <w:rFonts w:ascii="Calibri" w:hAnsi="Calibri"/>
          <w:i/>
          <w:color w:val="000000" w:themeColor="text1"/>
          <w:lang w:bidi="en-US"/>
        </w:rPr>
        <w:t>completed</w:t>
      </w:r>
      <w:r w:rsidRPr="000473DD">
        <w:rPr>
          <w:rFonts w:ascii="Calibri" w:hAnsi="Calibri"/>
          <w:color w:val="000000" w:themeColor="text1"/>
          <w:lang w:bidi="en-US"/>
        </w:rPr>
        <w:t xml:space="preserve"> the RELATED </w:t>
      </w:r>
      <w:r w:rsidRPr="000473DD">
        <w:rPr>
          <w:rFonts w:ascii="Calibri" w:hAnsi="Calibri"/>
          <w:b/>
          <w:color w:val="000000" w:themeColor="text1"/>
          <w:lang w:bidi="en-US"/>
        </w:rPr>
        <w:t xml:space="preserve">PRE-COLLEGIATE/BASIC SKILLS </w:t>
      </w:r>
      <w:r w:rsidRPr="000473DD">
        <w:rPr>
          <w:rFonts w:ascii="Calibri" w:hAnsi="Calibri"/>
          <w:color w:val="000000" w:themeColor="text1"/>
          <w:lang w:bidi="en-US"/>
        </w:rPr>
        <w:t xml:space="preserve">course sequence?  Disaggregate this percentage by race/ethnicity and gender, in addition to the rate for all cohort students.  </w:t>
      </w:r>
      <w:r w:rsidRPr="000473DD">
        <w:rPr>
          <w:rFonts w:ascii="Calibri" w:hAnsi="Calibri"/>
          <w:color w:val="000000" w:themeColor="text1"/>
          <w:u w:val="single"/>
          <w:lang w:bidi="en-US"/>
        </w:rPr>
        <w:t xml:space="preserve">Note that this is </w:t>
      </w:r>
      <w:r w:rsidRPr="000473DD">
        <w:rPr>
          <w:rFonts w:ascii="Calibri" w:hAnsi="Calibri"/>
          <w:b/>
          <w:color w:val="000000" w:themeColor="text1"/>
          <w:u w:val="single"/>
          <w:lang w:bidi="en-US"/>
        </w:rPr>
        <w:t>not</w:t>
      </w:r>
      <w:r w:rsidRPr="000473DD">
        <w:rPr>
          <w:rFonts w:ascii="Calibri" w:hAnsi="Calibri"/>
          <w:color w:val="000000" w:themeColor="text1"/>
          <w:u w:val="single"/>
          <w:lang w:bidi="en-US"/>
        </w:rPr>
        <w:t xml:space="preserve"> the CLASS cohort.</w:t>
      </w:r>
    </w:p>
    <w:p w:rsidR="00CE0568" w:rsidRPr="000473DD" w:rsidRDefault="00CE0568" w:rsidP="006D7210">
      <w:pPr>
        <w:rPr>
          <w:rFonts w:ascii="Calibri" w:hAnsi="Calibri"/>
          <w:color w:val="000000" w:themeColor="text1"/>
          <w:lang w:bidi="en-US"/>
        </w:rPr>
      </w:pPr>
    </w:p>
    <w:p w:rsidR="00CA0080" w:rsidRPr="000473DD" w:rsidRDefault="00F50606" w:rsidP="006D7210">
      <w:p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Results </w:t>
      </w:r>
      <w:r w:rsidR="006C0BDD" w:rsidRPr="000473DD">
        <w:rPr>
          <w:rFonts w:ascii="Calibri" w:hAnsi="Calibri"/>
          <w:color w:val="000000" w:themeColor="text1"/>
          <w:lang w:bidi="en-US"/>
        </w:rPr>
        <w:t>are presented</w:t>
      </w:r>
      <w:r w:rsidR="004E6E24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6C0BDD" w:rsidRPr="000473DD">
        <w:rPr>
          <w:rFonts w:ascii="Calibri" w:hAnsi="Calibri"/>
          <w:color w:val="000000" w:themeColor="text1"/>
          <w:lang w:bidi="en-US"/>
        </w:rPr>
        <w:t xml:space="preserve"> for </w:t>
      </w:r>
      <w:r w:rsidR="00704503" w:rsidRPr="000473DD">
        <w:rPr>
          <w:rFonts w:ascii="Calibri" w:hAnsi="Calibri"/>
          <w:color w:val="000000" w:themeColor="text1"/>
          <w:lang w:bidi="en-US"/>
        </w:rPr>
        <w:t>Math 103</w:t>
      </w:r>
      <w:r w:rsidR="006C0BDD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066A7D" w:rsidRPr="000473DD">
        <w:rPr>
          <w:rFonts w:ascii="Calibri" w:hAnsi="Calibri"/>
          <w:color w:val="000000" w:themeColor="text1"/>
          <w:lang w:bidi="en-US"/>
        </w:rPr>
        <w:t>(</w:t>
      </w:r>
      <w:r w:rsidR="001F3D44" w:rsidRPr="000473DD">
        <w:rPr>
          <w:rFonts w:ascii="Calibri" w:hAnsi="Calibri"/>
          <w:color w:val="000000" w:themeColor="text1"/>
          <w:lang w:bidi="en-US"/>
        </w:rPr>
        <w:t>Table</w:t>
      </w:r>
      <w:r w:rsidR="00515E88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1F3D44" w:rsidRPr="000473DD">
        <w:rPr>
          <w:rFonts w:ascii="Calibri" w:hAnsi="Calibri"/>
          <w:color w:val="000000" w:themeColor="text1"/>
          <w:lang w:bidi="en-US"/>
        </w:rPr>
        <w:t>1</w:t>
      </w:r>
      <w:r w:rsidR="00455F93" w:rsidRPr="000473DD">
        <w:rPr>
          <w:rFonts w:ascii="Calibri" w:hAnsi="Calibri"/>
          <w:color w:val="000000" w:themeColor="text1"/>
          <w:lang w:bidi="en-US"/>
        </w:rPr>
        <w:t xml:space="preserve">), </w:t>
      </w:r>
      <w:r w:rsidR="00704503" w:rsidRPr="000473DD">
        <w:rPr>
          <w:rFonts w:ascii="Calibri" w:hAnsi="Calibri"/>
          <w:color w:val="000000" w:themeColor="text1"/>
          <w:lang w:bidi="en-US"/>
        </w:rPr>
        <w:t>Math 110 (Table</w:t>
      </w:r>
      <w:r w:rsidR="00656B22" w:rsidRPr="000473DD">
        <w:rPr>
          <w:rFonts w:ascii="Calibri" w:hAnsi="Calibri"/>
          <w:color w:val="000000" w:themeColor="text1"/>
          <w:lang w:bidi="en-US"/>
        </w:rPr>
        <w:t xml:space="preserve"> 2</w:t>
      </w:r>
      <w:r w:rsidR="00704503" w:rsidRPr="000473DD">
        <w:rPr>
          <w:rFonts w:ascii="Calibri" w:hAnsi="Calibri"/>
          <w:color w:val="000000" w:themeColor="text1"/>
          <w:lang w:bidi="en-US"/>
        </w:rPr>
        <w:t>)</w:t>
      </w:r>
      <w:r w:rsidR="00E3636D" w:rsidRPr="000473DD">
        <w:rPr>
          <w:rFonts w:ascii="Calibri" w:hAnsi="Calibri"/>
          <w:color w:val="000000" w:themeColor="text1"/>
          <w:lang w:bidi="en-US"/>
        </w:rPr>
        <w:t xml:space="preserve">, </w:t>
      </w:r>
      <w:r w:rsidR="00704503" w:rsidRPr="000473DD">
        <w:rPr>
          <w:rFonts w:ascii="Calibri" w:hAnsi="Calibri"/>
          <w:color w:val="000000" w:themeColor="text1"/>
          <w:lang w:bidi="en-US"/>
        </w:rPr>
        <w:t>and Math 103/110 combined</w:t>
      </w:r>
      <w:r w:rsidR="00455F93" w:rsidRPr="000473DD">
        <w:rPr>
          <w:rFonts w:ascii="Calibri" w:hAnsi="Calibri"/>
          <w:color w:val="000000" w:themeColor="text1"/>
          <w:lang w:bidi="en-US"/>
        </w:rPr>
        <w:t xml:space="preserve"> (Tables </w:t>
      </w:r>
      <w:r w:rsidR="006E3868" w:rsidRPr="000473DD">
        <w:rPr>
          <w:rFonts w:ascii="Calibri" w:hAnsi="Calibri"/>
          <w:color w:val="000000" w:themeColor="text1"/>
          <w:lang w:bidi="en-US"/>
        </w:rPr>
        <w:t>3</w:t>
      </w:r>
      <w:r w:rsidR="005D65B4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455F93" w:rsidRPr="000473DD">
        <w:rPr>
          <w:rFonts w:ascii="Calibri" w:hAnsi="Calibri"/>
          <w:color w:val="000000" w:themeColor="text1"/>
          <w:lang w:bidi="en-US"/>
        </w:rPr>
        <w:t>-</w:t>
      </w:r>
      <w:r w:rsidR="005D65B4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6E3868" w:rsidRPr="000473DD">
        <w:rPr>
          <w:rFonts w:ascii="Calibri" w:hAnsi="Calibri"/>
          <w:color w:val="000000" w:themeColor="text1"/>
          <w:lang w:bidi="en-US"/>
        </w:rPr>
        <w:t>6</w:t>
      </w:r>
      <w:r w:rsidR="00455F93" w:rsidRPr="000473DD">
        <w:rPr>
          <w:rFonts w:ascii="Calibri" w:hAnsi="Calibri"/>
          <w:color w:val="000000" w:themeColor="text1"/>
          <w:lang w:bidi="en-US"/>
        </w:rPr>
        <w:t>)</w:t>
      </w:r>
      <w:r w:rsidR="006C0BDD" w:rsidRPr="000473DD">
        <w:rPr>
          <w:rFonts w:ascii="Calibri" w:hAnsi="Calibri"/>
          <w:color w:val="000000" w:themeColor="text1"/>
          <w:lang w:bidi="en-US"/>
        </w:rPr>
        <w:t>.</w:t>
      </w:r>
      <w:r w:rsidR="00EB49A0" w:rsidRPr="000473DD">
        <w:rPr>
          <w:rFonts w:ascii="Calibri" w:hAnsi="Calibri"/>
          <w:color w:val="000000" w:themeColor="text1"/>
          <w:lang w:bidi="en-US"/>
        </w:rPr>
        <w:t xml:space="preserve">  All data are presented for the Grossmont-Cuyamaca Community College District as a whole.</w:t>
      </w:r>
    </w:p>
    <w:p w:rsidR="004E6E24" w:rsidRPr="000473DD" w:rsidRDefault="004E6E24" w:rsidP="006D7210">
      <w:pPr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4E6E24" w:rsidRPr="000473DD" w:rsidRDefault="004E6E24" w:rsidP="006D7210">
      <w:pPr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955BD2" w:rsidRPr="000473DD" w:rsidRDefault="00542034" w:rsidP="006D7210">
      <w:pPr>
        <w:rPr>
          <w:rFonts w:ascii="Calibri" w:hAnsi="Calibri"/>
          <w:b/>
          <w:color w:val="000000" w:themeColor="text1"/>
          <w:u w:val="single"/>
          <w:lang w:bidi="en-US"/>
        </w:rPr>
      </w:pPr>
      <w:r w:rsidRPr="000473DD">
        <w:rPr>
          <w:rFonts w:ascii="Calibri" w:hAnsi="Calibri"/>
          <w:b/>
          <w:color w:val="000000" w:themeColor="text1"/>
          <w:u w:val="single"/>
          <w:lang w:bidi="en-US"/>
        </w:rPr>
        <w:t>Math 103</w:t>
      </w:r>
    </w:p>
    <w:p w:rsidR="00752361" w:rsidRPr="000473DD" w:rsidRDefault="00752361" w:rsidP="00735346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515E88" w:rsidRPr="000473DD" w:rsidRDefault="001F3D44" w:rsidP="00EB22A8">
      <w:pPr>
        <w:jc w:val="both"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Table 1</w:t>
      </w:r>
      <w:r w:rsidR="00EB22A8" w:rsidRPr="000473DD">
        <w:rPr>
          <w:rFonts w:ascii="Calibri" w:hAnsi="Calibri"/>
          <w:color w:val="000000" w:themeColor="text1"/>
          <w:lang w:bidi="en-US"/>
        </w:rPr>
        <w:t xml:space="preserve"> shows </w:t>
      </w:r>
      <w:r w:rsidR="00542034" w:rsidRPr="000473DD">
        <w:rPr>
          <w:rFonts w:ascii="Calibri" w:hAnsi="Calibri"/>
          <w:color w:val="000000" w:themeColor="text1"/>
          <w:lang w:bidi="en-US"/>
        </w:rPr>
        <w:t>Math 103</w:t>
      </w:r>
      <w:r w:rsidR="00D6474A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752361" w:rsidRPr="000473DD">
        <w:rPr>
          <w:rFonts w:ascii="Calibri" w:hAnsi="Calibri"/>
          <w:color w:val="000000" w:themeColor="text1"/>
          <w:lang w:bidi="en-US"/>
        </w:rPr>
        <w:t xml:space="preserve">success rates through Spring 2009 for students who were assessed into pre-collegiate </w:t>
      </w:r>
      <w:r w:rsidR="00542034" w:rsidRPr="000473DD">
        <w:rPr>
          <w:rFonts w:ascii="Calibri" w:hAnsi="Calibri"/>
          <w:color w:val="000000" w:themeColor="text1"/>
          <w:lang w:bidi="en-US"/>
        </w:rPr>
        <w:t xml:space="preserve">Math (Math </w:t>
      </w:r>
      <w:r w:rsidR="00752361" w:rsidRPr="000473DD">
        <w:rPr>
          <w:rFonts w:ascii="Calibri" w:hAnsi="Calibri"/>
          <w:color w:val="000000" w:themeColor="text1"/>
          <w:lang w:bidi="en-US"/>
        </w:rPr>
        <w:t xml:space="preserve">90 or </w:t>
      </w:r>
      <w:r w:rsidR="00542034" w:rsidRPr="000473DD">
        <w:rPr>
          <w:rFonts w:ascii="Calibri" w:hAnsi="Calibri"/>
          <w:color w:val="000000" w:themeColor="text1"/>
          <w:lang w:bidi="en-US"/>
        </w:rPr>
        <w:t>below</w:t>
      </w:r>
      <w:r w:rsidR="00752361" w:rsidRPr="000473DD">
        <w:rPr>
          <w:rFonts w:ascii="Calibri" w:hAnsi="Calibri"/>
          <w:color w:val="000000" w:themeColor="text1"/>
          <w:lang w:bidi="en-US"/>
        </w:rPr>
        <w:t>)</w:t>
      </w:r>
      <w:r w:rsidR="00860D54" w:rsidRPr="000473DD">
        <w:rPr>
          <w:rFonts w:ascii="Calibri" w:hAnsi="Calibri"/>
          <w:color w:val="000000" w:themeColor="text1"/>
          <w:lang w:bidi="en-US"/>
        </w:rPr>
        <w:t xml:space="preserve"> for Fall 2006</w:t>
      </w:r>
      <w:r w:rsidR="00752361" w:rsidRPr="000473DD">
        <w:rPr>
          <w:rFonts w:ascii="Calibri" w:hAnsi="Calibri"/>
          <w:color w:val="000000" w:themeColor="text1"/>
          <w:lang w:bidi="en-US"/>
        </w:rPr>
        <w:t xml:space="preserve">.  Rates are presented </w:t>
      </w:r>
      <w:r w:rsidR="00787E5E" w:rsidRPr="000473DD">
        <w:rPr>
          <w:rFonts w:ascii="Calibri" w:hAnsi="Calibri"/>
          <w:color w:val="000000" w:themeColor="text1"/>
          <w:lang w:bidi="en-US"/>
        </w:rPr>
        <w:t xml:space="preserve">separately for </w:t>
      </w:r>
      <w:r w:rsidR="00C20A4E" w:rsidRPr="000473DD">
        <w:rPr>
          <w:rFonts w:ascii="Calibri" w:hAnsi="Calibri"/>
          <w:color w:val="000000" w:themeColor="text1"/>
          <w:lang w:bidi="en-US"/>
        </w:rPr>
        <w:t>two</w:t>
      </w:r>
      <w:r w:rsidR="00787E5E" w:rsidRPr="000473DD">
        <w:rPr>
          <w:rFonts w:ascii="Calibri" w:hAnsi="Calibri"/>
          <w:color w:val="000000" w:themeColor="text1"/>
          <w:lang w:bidi="en-US"/>
        </w:rPr>
        <w:t xml:space="preserve"> subgroups:</w:t>
      </w:r>
    </w:p>
    <w:p w:rsidR="00401483" w:rsidRPr="000473DD" w:rsidRDefault="00401483" w:rsidP="00EB22A8">
      <w:pPr>
        <w:jc w:val="both"/>
        <w:rPr>
          <w:rFonts w:ascii="Calibri" w:hAnsi="Calibri"/>
          <w:color w:val="000000" w:themeColor="text1"/>
          <w:lang w:bidi="en-US"/>
        </w:rPr>
      </w:pPr>
    </w:p>
    <w:p w:rsidR="003C4F09" w:rsidRPr="000473DD" w:rsidRDefault="00401483" w:rsidP="003C4F09">
      <w:pPr>
        <w:pStyle w:val="ListParagraph"/>
        <w:numPr>
          <w:ilvl w:val="0"/>
          <w:numId w:val="7"/>
        </w:num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Enrollments for </w:t>
      </w:r>
      <w:r w:rsidR="003C4F09" w:rsidRPr="000473DD">
        <w:rPr>
          <w:rFonts w:ascii="Calibri" w:hAnsi="Calibri"/>
          <w:color w:val="000000" w:themeColor="text1"/>
          <w:lang w:bidi="en-US"/>
        </w:rPr>
        <w:t>s</w:t>
      </w:r>
      <w:r w:rsidR="00752361" w:rsidRPr="000473DD">
        <w:rPr>
          <w:rFonts w:ascii="Calibri" w:hAnsi="Calibri"/>
          <w:color w:val="000000" w:themeColor="text1"/>
          <w:lang w:bidi="en-US"/>
        </w:rPr>
        <w:t xml:space="preserve">tudents who successfully completed the </w:t>
      </w:r>
      <w:r w:rsidR="00C20A4E" w:rsidRPr="000473DD">
        <w:rPr>
          <w:rFonts w:ascii="Calibri" w:hAnsi="Calibri"/>
          <w:color w:val="000000" w:themeColor="text1"/>
          <w:lang w:bidi="en-US"/>
        </w:rPr>
        <w:t>highest lev</w:t>
      </w:r>
      <w:r w:rsidR="00C20A4E" w:rsidRPr="00E8003D">
        <w:rPr>
          <w:rFonts w:ascii="Calibri" w:hAnsi="Calibri"/>
          <w:color w:val="000000" w:themeColor="text1"/>
          <w:lang w:bidi="en-US"/>
        </w:rPr>
        <w:t>e</w:t>
      </w:r>
      <w:r w:rsidR="00C20A4E" w:rsidRPr="000473DD">
        <w:rPr>
          <w:rFonts w:ascii="Calibri" w:hAnsi="Calibri"/>
          <w:color w:val="000000" w:themeColor="text1"/>
          <w:lang w:bidi="en-US"/>
        </w:rPr>
        <w:t>l</w:t>
      </w:r>
      <w:r w:rsidR="00C20A4E" w:rsidRPr="000473DD">
        <w:rPr>
          <w:rFonts w:ascii="Calibri" w:hAnsi="Calibri"/>
          <w:b/>
          <w:color w:val="000000" w:themeColor="text1"/>
          <w:lang w:bidi="en-US"/>
        </w:rPr>
        <w:t xml:space="preserve"> </w:t>
      </w:r>
      <w:r w:rsidR="00C20A4E" w:rsidRPr="000473DD">
        <w:rPr>
          <w:rFonts w:ascii="Calibri" w:hAnsi="Calibri"/>
          <w:color w:val="000000" w:themeColor="text1"/>
          <w:lang w:bidi="en-US"/>
        </w:rPr>
        <w:t xml:space="preserve">pre-collegiate </w:t>
      </w:r>
      <w:r w:rsidR="00542034" w:rsidRPr="000473DD">
        <w:rPr>
          <w:rFonts w:ascii="Calibri" w:hAnsi="Calibri"/>
          <w:color w:val="000000" w:themeColor="text1"/>
          <w:lang w:bidi="en-US"/>
        </w:rPr>
        <w:t>Mat</w:t>
      </w:r>
      <w:r w:rsidR="00C20A4E" w:rsidRPr="000473DD">
        <w:rPr>
          <w:rFonts w:ascii="Calibri" w:hAnsi="Calibri"/>
          <w:color w:val="000000" w:themeColor="text1"/>
          <w:lang w:bidi="en-US"/>
        </w:rPr>
        <w:t xml:space="preserve">h placement course, </w:t>
      </w:r>
      <w:r w:rsidR="00542034" w:rsidRPr="000473DD">
        <w:rPr>
          <w:rFonts w:ascii="Calibri" w:hAnsi="Calibri"/>
          <w:color w:val="000000" w:themeColor="text1"/>
          <w:lang w:bidi="en-US"/>
        </w:rPr>
        <w:t>Math 90</w:t>
      </w:r>
      <w:r w:rsidR="00C20A4E" w:rsidRPr="000473DD">
        <w:rPr>
          <w:rFonts w:ascii="Calibri" w:hAnsi="Calibri"/>
          <w:color w:val="000000" w:themeColor="text1"/>
          <w:lang w:bidi="en-US"/>
        </w:rPr>
        <w:t>, prior to enrol</w:t>
      </w:r>
      <w:r w:rsidR="00542034" w:rsidRPr="000473DD">
        <w:rPr>
          <w:rFonts w:ascii="Calibri" w:hAnsi="Calibri"/>
          <w:color w:val="000000" w:themeColor="text1"/>
          <w:lang w:bidi="en-US"/>
        </w:rPr>
        <w:t>ling in Math 103</w:t>
      </w:r>
    </w:p>
    <w:p w:rsidR="00C20A4E" w:rsidRPr="000473DD" w:rsidRDefault="00401483" w:rsidP="00C20A4E">
      <w:pPr>
        <w:pStyle w:val="ListParagraph"/>
        <w:numPr>
          <w:ilvl w:val="0"/>
          <w:numId w:val="7"/>
        </w:num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Enrollments for </w:t>
      </w:r>
      <w:r w:rsidR="00C20A4E" w:rsidRPr="000473DD">
        <w:rPr>
          <w:rFonts w:ascii="Calibri" w:hAnsi="Calibri"/>
          <w:color w:val="000000" w:themeColor="text1"/>
          <w:lang w:bidi="en-US"/>
        </w:rPr>
        <w:t xml:space="preserve">students who did not successfully complete the highest level pre-collegiate </w:t>
      </w:r>
      <w:r w:rsidR="00D54B94" w:rsidRPr="000473DD">
        <w:rPr>
          <w:rFonts w:ascii="Calibri" w:hAnsi="Calibri"/>
          <w:color w:val="000000" w:themeColor="text1"/>
          <w:lang w:bidi="en-US"/>
        </w:rPr>
        <w:t>Mat</w:t>
      </w:r>
      <w:r w:rsidR="00C20A4E" w:rsidRPr="000473DD">
        <w:rPr>
          <w:rFonts w:ascii="Calibri" w:hAnsi="Calibri"/>
          <w:color w:val="000000" w:themeColor="text1"/>
          <w:lang w:bidi="en-US"/>
        </w:rPr>
        <w:t xml:space="preserve">h placement course, </w:t>
      </w:r>
      <w:r w:rsidR="00542034" w:rsidRPr="000473DD">
        <w:rPr>
          <w:rFonts w:ascii="Calibri" w:hAnsi="Calibri"/>
          <w:color w:val="000000" w:themeColor="text1"/>
          <w:lang w:bidi="en-US"/>
        </w:rPr>
        <w:t>Math 90, prior to enrolling in Math 103</w:t>
      </w:r>
    </w:p>
    <w:p w:rsidR="00EB22A8" w:rsidRPr="000473DD" w:rsidRDefault="00EB22A8" w:rsidP="00EB22A8">
      <w:pPr>
        <w:rPr>
          <w:rFonts w:ascii="Calibri" w:hAnsi="Calibri"/>
          <w:color w:val="000000" w:themeColor="text1"/>
          <w:lang w:bidi="en-US"/>
        </w:rPr>
      </w:pPr>
    </w:p>
    <w:p w:rsidR="00125F01" w:rsidRPr="000473DD" w:rsidRDefault="00C20A4E" w:rsidP="00125F01">
      <w:p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Note that </w:t>
      </w:r>
      <w:r w:rsidR="00CF4FF8" w:rsidRPr="000473DD">
        <w:rPr>
          <w:rFonts w:ascii="Calibri" w:hAnsi="Calibri"/>
          <w:color w:val="000000" w:themeColor="text1"/>
          <w:lang w:bidi="en-US"/>
        </w:rPr>
        <w:t>Math 90</w:t>
      </w:r>
      <w:r w:rsidRPr="000473DD">
        <w:rPr>
          <w:rFonts w:ascii="Calibri" w:hAnsi="Calibri"/>
          <w:color w:val="000000" w:themeColor="text1"/>
          <w:lang w:bidi="en-US"/>
        </w:rPr>
        <w:t xml:space="preserve"> is a prerequisite for </w:t>
      </w:r>
      <w:r w:rsidR="00CF4FF8" w:rsidRPr="000473DD">
        <w:rPr>
          <w:rFonts w:ascii="Calibri" w:hAnsi="Calibri"/>
          <w:color w:val="000000" w:themeColor="text1"/>
          <w:lang w:bidi="en-US"/>
        </w:rPr>
        <w:t>Math 103</w:t>
      </w:r>
      <w:r w:rsidRPr="000473DD">
        <w:rPr>
          <w:rFonts w:ascii="Calibri" w:hAnsi="Calibri"/>
          <w:color w:val="000000" w:themeColor="text1"/>
          <w:lang w:bidi="en-US"/>
        </w:rPr>
        <w:t xml:space="preserve">.  Students who placed into pre-collegiate </w:t>
      </w:r>
      <w:r w:rsidR="00CF4FF8" w:rsidRPr="000473DD">
        <w:rPr>
          <w:rFonts w:ascii="Calibri" w:hAnsi="Calibri"/>
          <w:color w:val="000000" w:themeColor="text1"/>
          <w:lang w:bidi="en-US"/>
        </w:rPr>
        <w:t xml:space="preserve">Math 90 or below, </w:t>
      </w:r>
      <w:r w:rsidRPr="000473DD">
        <w:rPr>
          <w:rFonts w:ascii="Calibri" w:hAnsi="Calibri"/>
          <w:color w:val="000000" w:themeColor="text1"/>
          <w:lang w:bidi="en-US"/>
        </w:rPr>
        <w:t xml:space="preserve">but did not successfully complete </w:t>
      </w:r>
      <w:r w:rsidR="00CF4FF8" w:rsidRPr="000473DD">
        <w:rPr>
          <w:rFonts w:ascii="Calibri" w:hAnsi="Calibri"/>
          <w:color w:val="000000" w:themeColor="text1"/>
          <w:lang w:bidi="en-US"/>
        </w:rPr>
        <w:t>Math 90</w:t>
      </w:r>
      <w:r w:rsidRPr="000473DD">
        <w:rPr>
          <w:rFonts w:ascii="Calibri" w:hAnsi="Calibri"/>
          <w:color w:val="000000" w:themeColor="text1"/>
          <w:lang w:bidi="en-US"/>
        </w:rPr>
        <w:t xml:space="preserve"> prior to enrolling in </w:t>
      </w:r>
      <w:r w:rsidR="00CF4FF8" w:rsidRPr="000473DD">
        <w:rPr>
          <w:rFonts w:ascii="Calibri" w:hAnsi="Calibri"/>
          <w:color w:val="000000" w:themeColor="text1"/>
          <w:lang w:bidi="en-US"/>
        </w:rPr>
        <w:t>Math 103</w:t>
      </w:r>
      <w:r w:rsidR="00E31CD8" w:rsidRPr="000473DD">
        <w:rPr>
          <w:rFonts w:ascii="Calibri" w:hAnsi="Calibri"/>
          <w:color w:val="000000" w:themeColor="text1"/>
          <w:lang w:bidi="en-US"/>
        </w:rPr>
        <w:t xml:space="preserve"> would have been required to demo</w:t>
      </w:r>
      <w:r w:rsidR="0086799B" w:rsidRPr="000473DD">
        <w:rPr>
          <w:rFonts w:ascii="Calibri" w:hAnsi="Calibri"/>
          <w:color w:val="000000" w:themeColor="text1"/>
          <w:lang w:bidi="en-US"/>
        </w:rPr>
        <w:t xml:space="preserve">nstrate equivalent preparation, for example </w:t>
      </w:r>
      <w:r w:rsidR="008421FC" w:rsidRPr="000473DD">
        <w:rPr>
          <w:rFonts w:ascii="Calibri" w:hAnsi="Calibri"/>
          <w:color w:val="000000" w:themeColor="text1"/>
          <w:lang w:bidi="en-US"/>
        </w:rPr>
        <w:t>through</w:t>
      </w:r>
      <w:r w:rsidR="0086799B" w:rsidRPr="000473DD">
        <w:rPr>
          <w:rFonts w:ascii="Calibri" w:hAnsi="Calibri"/>
          <w:color w:val="000000" w:themeColor="text1"/>
          <w:lang w:bidi="en-US"/>
        </w:rPr>
        <w:t xml:space="preserve"> post-test advising</w:t>
      </w:r>
      <w:r w:rsidR="00CF4FF8" w:rsidRPr="000473DD">
        <w:rPr>
          <w:rFonts w:ascii="Calibri" w:hAnsi="Calibri"/>
          <w:color w:val="000000" w:themeColor="text1"/>
          <w:lang w:bidi="en-US"/>
        </w:rPr>
        <w:t xml:space="preserve"> or</w:t>
      </w:r>
      <w:r w:rsidR="004045A0" w:rsidRPr="000473DD">
        <w:rPr>
          <w:rFonts w:ascii="Calibri" w:hAnsi="Calibri"/>
          <w:color w:val="000000" w:themeColor="text1"/>
          <w:lang w:bidi="en-US"/>
        </w:rPr>
        <w:t xml:space="preserve"> </w:t>
      </w:r>
      <w:r w:rsidR="00E31CD8" w:rsidRPr="000473DD">
        <w:rPr>
          <w:rFonts w:ascii="Calibri" w:hAnsi="Calibri"/>
          <w:color w:val="000000" w:themeColor="text1"/>
          <w:lang w:bidi="en-US"/>
        </w:rPr>
        <w:t>taking</w:t>
      </w:r>
      <w:r w:rsidRPr="000473DD">
        <w:rPr>
          <w:rFonts w:ascii="Calibri" w:hAnsi="Calibri"/>
          <w:color w:val="000000" w:themeColor="text1"/>
          <w:lang w:bidi="en-US"/>
        </w:rPr>
        <w:t xml:space="preserve"> the </w:t>
      </w:r>
      <w:r w:rsidR="00CF4FF8" w:rsidRPr="000473DD">
        <w:rPr>
          <w:rFonts w:ascii="Calibri" w:hAnsi="Calibri"/>
          <w:color w:val="000000" w:themeColor="text1"/>
          <w:lang w:bidi="en-US"/>
        </w:rPr>
        <w:t>Math 90</w:t>
      </w:r>
      <w:r w:rsidRPr="000473DD">
        <w:rPr>
          <w:rFonts w:ascii="Calibri" w:hAnsi="Calibri"/>
          <w:color w:val="000000" w:themeColor="text1"/>
          <w:lang w:bidi="en-US"/>
        </w:rPr>
        <w:t xml:space="preserve"> pre</w:t>
      </w:r>
      <w:r w:rsidR="00041382" w:rsidRPr="000473DD">
        <w:rPr>
          <w:rFonts w:ascii="Calibri" w:hAnsi="Calibri"/>
          <w:color w:val="000000" w:themeColor="text1"/>
          <w:lang w:bidi="en-US"/>
        </w:rPr>
        <w:t>requisite at another college</w:t>
      </w:r>
      <w:r w:rsidR="00E31CD8" w:rsidRPr="000473DD">
        <w:rPr>
          <w:rFonts w:ascii="Calibri" w:hAnsi="Calibri"/>
          <w:color w:val="000000" w:themeColor="text1"/>
          <w:lang w:bidi="en-US"/>
        </w:rPr>
        <w:t>.</w:t>
      </w:r>
    </w:p>
    <w:p w:rsidR="00930089" w:rsidRPr="000473DD" w:rsidRDefault="00930089" w:rsidP="00F632CD">
      <w:pPr>
        <w:rPr>
          <w:rFonts w:ascii="Calibri" w:hAnsi="Calibri"/>
          <w:color w:val="000000" w:themeColor="text1"/>
          <w:lang w:bidi="en-US"/>
        </w:rPr>
      </w:pPr>
    </w:p>
    <w:p w:rsidR="00B81EB2" w:rsidRPr="000473DD" w:rsidRDefault="00B81EB2" w:rsidP="00F632CD">
      <w:pPr>
        <w:rPr>
          <w:rFonts w:ascii="Calibri" w:hAnsi="Calibri"/>
          <w:color w:val="000000" w:themeColor="text1"/>
          <w:lang w:bidi="en-US"/>
        </w:rPr>
      </w:pPr>
    </w:p>
    <w:p w:rsidR="00F632CD" w:rsidRPr="000473DD" w:rsidRDefault="001F3D44" w:rsidP="00F632CD">
      <w:pPr>
        <w:rPr>
          <w:rFonts w:ascii="Calibri" w:hAnsi="Calibri"/>
          <w:i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lastRenderedPageBreak/>
        <w:t>Table 1</w:t>
      </w:r>
      <w:r w:rsidR="00F632CD" w:rsidRPr="000473DD">
        <w:rPr>
          <w:rFonts w:ascii="Calibri" w:hAnsi="Calibri"/>
          <w:color w:val="000000" w:themeColor="text1"/>
          <w:lang w:bidi="en-US"/>
        </w:rPr>
        <w:t>.</w:t>
      </w:r>
      <w:r w:rsidR="00F632CD"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EB2C93" w:rsidRPr="000473DD">
        <w:rPr>
          <w:rFonts w:ascii="Calibri" w:hAnsi="Calibri"/>
          <w:i/>
          <w:color w:val="000000" w:themeColor="text1"/>
          <w:lang w:bidi="en-US"/>
        </w:rPr>
        <w:t>Mat</w:t>
      </w:r>
      <w:r w:rsidR="00EF3775" w:rsidRPr="000473DD">
        <w:rPr>
          <w:rFonts w:ascii="Calibri" w:hAnsi="Calibri"/>
          <w:i/>
          <w:color w:val="000000" w:themeColor="text1"/>
          <w:lang w:bidi="en-US"/>
        </w:rPr>
        <w:t>h</w:t>
      </w:r>
      <w:r w:rsidR="00F632CD"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3F5FBD" w:rsidRPr="000473DD">
        <w:rPr>
          <w:rFonts w:ascii="Calibri" w:hAnsi="Calibri"/>
          <w:i/>
          <w:color w:val="000000" w:themeColor="text1"/>
          <w:lang w:bidi="en-US"/>
        </w:rPr>
        <w:t xml:space="preserve">103 </w:t>
      </w:r>
      <w:r w:rsidR="00F632CD" w:rsidRPr="000473DD">
        <w:rPr>
          <w:rFonts w:ascii="Calibri" w:hAnsi="Calibri"/>
          <w:i/>
          <w:color w:val="000000" w:themeColor="text1"/>
          <w:lang w:bidi="en-US"/>
        </w:rPr>
        <w:t>success rates (</w:t>
      </w:r>
      <w:r w:rsidR="006A0A83" w:rsidRPr="000473DD">
        <w:rPr>
          <w:rFonts w:ascii="Calibri" w:hAnsi="Calibri"/>
          <w:i/>
          <w:color w:val="000000" w:themeColor="text1"/>
          <w:lang w:bidi="en-US"/>
        </w:rPr>
        <w:t xml:space="preserve">through </w:t>
      </w:r>
      <w:r w:rsidR="00F632CD" w:rsidRPr="000473DD">
        <w:rPr>
          <w:rFonts w:ascii="Calibri" w:hAnsi="Calibri"/>
          <w:i/>
          <w:color w:val="000000" w:themeColor="text1"/>
          <w:lang w:bidi="en-US"/>
        </w:rPr>
        <w:t xml:space="preserve">Spring 2009) for pre-collegiate </w:t>
      </w:r>
      <w:r w:rsidR="00EB2C93" w:rsidRPr="000473DD">
        <w:rPr>
          <w:rFonts w:ascii="Calibri" w:hAnsi="Calibri"/>
          <w:i/>
          <w:color w:val="000000" w:themeColor="text1"/>
          <w:lang w:bidi="en-US"/>
        </w:rPr>
        <w:t>Mat</w:t>
      </w:r>
      <w:r w:rsidR="00F632CD" w:rsidRPr="000473DD">
        <w:rPr>
          <w:rFonts w:ascii="Calibri" w:hAnsi="Calibri"/>
          <w:i/>
          <w:color w:val="000000" w:themeColor="text1"/>
          <w:lang w:bidi="en-US"/>
        </w:rPr>
        <w:t xml:space="preserve">h students who did and did not successfully complete </w:t>
      </w:r>
      <w:r w:rsidR="00EF3775" w:rsidRPr="000473DD">
        <w:rPr>
          <w:rFonts w:ascii="Calibri" w:hAnsi="Calibri"/>
          <w:i/>
          <w:color w:val="000000" w:themeColor="text1"/>
          <w:lang w:bidi="en-US"/>
        </w:rPr>
        <w:t>the pre-collegiate sequence prior to the gateway course</w:t>
      </w:r>
    </w:p>
    <w:tbl>
      <w:tblPr>
        <w:tblStyle w:val="LightShading-Accent11"/>
        <w:tblW w:w="7098" w:type="dxa"/>
        <w:tblInd w:w="10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</w:tblGrid>
      <w:tr w:rsidR="00EE61CC" w:rsidRPr="000473DD" w:rsidTr="0044595C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EE61CC" w:rsidRPr="000473DD" w:rsidRDefault="00EE61CC" w:rsidP="00CA5AF0">
            <w:pPr>
              <w:jc w:val="center"/>
              <w:rPr>
                <w:color w:val="000000" w:themeColor="text1"/>
              </w:rPr>
            </w:pPr>
          </w:p>
          <w:p w:rsidR="00EE61CC" w:rsidRPr="000473DD" w:rsidRDefault="00EE61CC" w:rsidP="00CA5AF0">
            <w:pPr>
              <w:jc w:val="center"/>
              <w:rPr>
                <w:color w:val="000000" w:themeColor="text1"/>
              </w:rPr>
            </w:pPr>
          </w:p>
          <w:p w:rsidR="00EE61CC" w:rsidRPr="000473DD" w:rsidRDefault="00EE61CC" w:rsidP="00CA5AF0">
            <w:pPr>
              <w:rPr>
                <w:color w:val="000000" w:themeColor="text1"/>
              </w:rPr>
            </w:pPr>
          </w:p>
          <w:p w:rsidR="00EE61CC" w:rsidRPr="000473DD" w:rsidRDefault="00EE61CC" w:rsidP="00CA5AF0">
            <w:pPr>
              <w:jc w:val="center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Course Outcome</w:t>
            </w:r>
          </w:p>
        </w:tc>
        <w:tc>
          <w:tcPr>
            <w:tcW w:w="5280" w:type="dxa"/>
            <w:gridSpan w:val="4"/>
            <w:vAlign w:val="center"/>
          </w:tcPr>
          <w:p w:rsidR="00EE61CC" w:rsidRPr="000473DD" w:rsidRDefault="00E74542" w:rsidP="00EE61CC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Mat</w:t>
            </w:r>
            <w:r w:rsidR="00EE61CC" w:rsidRPr="000473DD">
              <w:rPr>
                <w:color w:val="000000" w:themeColor="text1"/>
              </w:rPr>
              <w:t xml:space="preserve">h </w:t>
            </w:r>
            <w:r w:rsidR="003F5FBD" w:rsidRPr="000473DD">
              <w:rPr>
                <w:color w:val="000000" w:themeColor="text1"/>
              </w:rPr>
              <w:t xml:space="preserve">103 </w:t>
            </w:r>
            <w:r w:rsidR="00EE61CC" w:rsidRPr="000473DD">
              <w:rPr>
                <w:color w:val="000000" w:themeColor="text1"/>
              </w:rPr>
              <w:t>Success Rates</w:t>
            </w:r>
          </w:p>
          <w:p w:rsidR="00EE61CC" w:rsidRPr="000473DD" w:rsidRDefault="00EE61CC" w:rsidP="006A0A83">
            <w:pPr>
              <w:jc w:val="center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0473DD">
              <w:rPr>
                <w:color w:val="000000" w:themeColor="text1"/>
              </w:rPr>
              <w:t>(</w:t>
            </w:r>
            <w:r w:rsidR="006A0A83" w:rsidRPr="000473DD">
              <w:rPr>
                <w:color w:val="000000" w:themeColor="text1"/>
              </w:rPr>
              <w:t xml:space="preserve">Through </w:t>
            </w:r>
            <w:r w:rsidRPr="000473DD">
              <w:rPr>
                <w:color w:val="000000" w:themeColor="text1"/>
              </w:rPr>
              <w:t>Spring 2009)</w:t>
            </w:r>
          </w:p>
        </w:tc>
      </w:tr>
      <w:tr w:rsidR="00EE61CC" w:rsidRPr="000473DD" w:rsidTr="0044595C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EE61CC" w:rsidRPr="000473DD" w:rsidRDefault="00EE61CC" w:rsidP="00CA5AF0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EE61CC" w:rsidRPr="000473DD" w:rsidRDefault="00EB2C93" w:rsidP="00CA5AF0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Successfully Completed Math 90 Prior to Gateway Course Enrollment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EE61CC" w:rsidRPr="000473DD" w:rsidRDefault="00EB2C93" w:rsidP="00CA5AF0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Did Not Successfully Complete Math 90 Prior to Gateway Course Enrollment</w:t>
            </w:r>
          </w:p>
        </w:tc>
      </w:tr>
      <w:tr w:rsidR="00EE61CC" w:rsidRPr="000473DD" w:rsidTr="0044595C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EE61CC" w:rsidRPr="000473DD" w:rsidRDefault="00EE61CC" w:rsidP="00CA5AF0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Count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Count</w:t>
            </w:r>
          </w:p>
        </w:tc>
        <w:tc>
          <w:tcPr>
            <w:tcW w:w="1320" w:type="dxa"/>
            <w:vAlign w:val="center"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</w:tr>
      <w:tr w:rsidR="00EE61CC" w:rsidRPr="000473DD" w:rsidTr="001E0E07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Successful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109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8E091E" w:rsidP="00012E87">
            <w:pPr>
              <w:tabs>
                <w:tab w:val="left" w:pos="834"/>
              </w:tabs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58.0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</w:t>
            </w:r>
          </w:p>
        </w:tc>
        <w:tc>
          <w:tcPr>
            <w:tcW w:w="1320" w:type="dxa"/>
            <w:vAlign w:val="center"/>
          </w:tcPr>
          <w:p w:rsidR="00EE61CC" w:rsidRPr="000473DD" w:rsidRDefault="008E091E" w:rsidP="00CA5AF0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42.9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E61CC" w:rsidRPr="000473DD" w:rsidTr="001E0E07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Not Successful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39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8E091E" w:rsidP="00CA5AF0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20.7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vAlign w:val="center"/>
          </w:tcPr>
          <w:p w:rsidR="00EE61CC" w:rsidRPr="000473DD" w:rsidRDefault="008E091E" w:rsidP="00CA5AF0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19.0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E61CC" w:rsidRPr="000473DD" w:rsidTr="001E0E07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Withdrew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40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8E091E" w:rsidP="00CA5AF0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21.3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8</w:t>
            </w:r>
          </w:p>
        </w:tc>
        <w:tc>
          <w:tcPr>
            <w:tcW w:w="1320" w:type="dxa"/>
            <w:vAlign w:val="center"/>
          </w:tcPr>
          <w:p w:rsidR="00EE61CC" w:rsidRPr="000473DD" w:rsidRDefault="008E091E" w:rsidP="00CA5AF0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38.1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E61CC" w:rsidRPr="000473DD" w:rsidTr="001E0E07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Total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A260B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188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012E87" w:rsidP="00A260B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E61CC" w:rsidRPr="000473DD" w:rsidRDefault="008E091E" w:rsidP="00A260B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21</w:t>
            </w:r>
          </w:p>
        </w:tc>
        <w:tc>
          <w:tcPr>
            <w:tcW w:w="1320" w:type="dxa"/>
            <w:vAlign w:val="center"/>
          </w:tcPr>
          <w:p w:rsidR="00EE61CC" w:rsidRPr="000473DD" w:rsidRDefault="00012E87" w:rsidP="00A260B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</w:tr>
    </w:tbl>
    <w:p w:rsidR="00E74542" w:rsidRPr="000473DD" w:rsidRDefault="00E74542" w:rsidP="00F632CD">
      <w:pPr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3A48AC" w:rsidRPr="000473DD" w:rsidRDefault="003A48AC" w:rsidP="00EC08A0">
      <w:pPr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EC08A0" w:rsidRPr="000473DD" w:rsidRDefault="00EC08A0" w:rsidP="00EC08A0">
      <w:pPr>
        <w:rPr>
          <w:rFonts w:ascii="Calibri" w:hAnsi="Calibri"/>
          <w:b/>
          <w:color w:val="000000" w:themeColor="text1"/>
          <w:u w:val="single"/>
          <w:lang w:bidi="en-US"/>
        </w:rPr>
      </w:pPr>
      <w:r w:rsidRPr="000473DD">
        <w:rPr>
          <w:rFonts w:ascii="Calibri" w:hAnsi="Calibri"/>
          <w:b/>
          <w:color w:val="000000" w:themeColor="text1"/>
          <w:u w:val="single"/>
          <w:lang w:bidi="en-US"/>
        </w:rPr>
        <w:t>Math 1</w:t>
      </w:r>
      <w:r w:rsidR="001F3D44" w:rsidRPr="000473DD">
        <w:rPr>
          <w:rFonts w:ascii="Calibri" w:hAnsi="Calibri"/>
          <w:b/>
          <w:color w:val="000000" w:themeColor="text1"/>
          <w:u w:val="single"/>
          <w:lang w:bidi="en-US"/>
        </w:rPr>
        <w:t>10</w:t>
      </w:r>
    </w:p>
    <w:p w:rsidR="00EC08A0" w:rsidRPr="000473DD" w:rsidRDefault="00EC08A0" w:rsidP="00EC08A0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EC08A0" w:rsidRPr="000473DD" w:rsidRDefault="002B7D74" w:rsidP="00EC08A0">
      <w:pPr>
        <w:jc w:val="both"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Table 2</w:t>
      </w:r>
      <w:r w:rsidR="00EC08A0" w:rsidRPr="000473DD">
        <w:rPr>
          <w:rFonts w:ascii="Calibri" w:hAnsi="Calibri"/>
          <w:color w:val="000000" w:themeColor="text1"/>
          <w:lang w:bidi="en-US"/>
        </w:rPr>
        <w:t xml:space="preserve"> shows M</w:t>
      </w:r>
      <w:r w:rsidR="008E707F" w:rsidRPr="000473DD">
        <w:rPr>
          <w:rFonts w:ascii="Calibri" w:hAnsi="Calibri"/>
          <w:color w:val="000000" w:themeColor="text1"/>
          <w:lang w:bidi="en-US"/>
        </w:rPr>
        <w:t>ath 110</w:t>
      </w:r>
      <w:r w:rsidR="00EC08A0" w:rsidRPr="000473DD">
        <w:rPr>
          <w:rFonts w:ascii="Calibri" w:hAnsi="Calibri"/>
          <w:color w:val="000000" w:themeColor="text1"/>
          <w:lang w:bidi="en-US"/>
        </w:rPr>
        <w:t xml:space="preserve"> success rates through Spring 2009 for students who were assessed into pre-collegiate Math (Math 90 or below) for Fall 2006.  Rates are presented separately for two subgroups:</w:t>
      </w:r>
    </w:p>
    <w:p w:rsidR="00EC08A0" w:rsidRPr="000473DD" w:rsidRDefault="00EC08A0" w:rsidP="00EC08A0">
      <w:pPr>
        <w:jc w:val="both"/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Enrollments for students who successfully completed the highest lev</w:t>
      </w:r>
      <w:r w:rsidRPr="00E8003D">
        <w:rPr>
          <w:rFonts w:ascii="Calibri" w:hAnsi="Calibri"/>
          <w:color w:val="000000" w:themeColor="text1"/>
          <w:lang w:bidi="en-US"/>
        </w:rPr>
        <w:t>e</w:t>
      </w:r>
      <w:r w:rsidRPr="000473DD">
        <w:rPr>
          <w:rFonts w:ascii="Calibri" w:hAnsi="Calibri"/>
          <w:color w:val="000000" w:themeColor="text1"/>
          <w:lang w:bidi="en-US"/>
        </w:rPr>
        <w:t>l</w:t>
      </w:r>
      <w:r w:rsidRPr="000473DD">
        <w:rPr>
          <w:rFonts w:ascii="Calibri" w:hAnsi="Calibri"/>
          <w:b/>
          <w:color w:val="000000" w:themeColor="text1"/>
          <w:lang w:bidi="en-US"/>
        </w:rPr>
        <w:t xml:space="preserve"> </w:t>
      </w:r>
      <w:r w:rsidRPr="000473DD">
        <w:rPr>
          <w:rFonts w:ascii="Calibri" w:hAnsi="Calibri"/>
          <w:color w:val="000000" w:themeColor="text1"/>
          <w:lang w:bidi="en-US"/>
        </w:rPr>
        <w:t>pre-collegiate Math placement course, Math 90, prior to enrolling in Math 1</w:t>
      </w:r>
      <w:r w:rsidR="008E707F" w:rsidRPr="000473DD">
        <w:rPr>
          <w:rFonts w:ascii="Calibri" w:hAnsi="Calibri"/>
          <w:color w:val="000000" w:themeColor="text1"/>
          <w:lang w:bidi="en-US"/>
        </w:rPr>
        <w:t>10</w:t>
      </w:r>
    </w:p>
    <w:p w:rsidR="00EC08A0" w:rsidRPr="000473DD" w:rsidRDefault="00EC08A0" w:rsidP="00EC08A0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Enrollments for students who did not successfully complete the highest level pre-collegiate </w:t>
      </w:r>
      <w:r w:rsidR="00D54B94" w:rsidRPr="000473DD">
        <w:rPr>
          <w:rFonts w:ascii="Calibri" w:hAnsi="Calibri"/>
          <w:color w:val="000000" w:themeColor="text1"/>
          <w:lang w:bidi="en-US"/>
        </w:rPr>
        <w:t>Mat</w:t>
      </w:r>
      <w:r w:rsidRPr="000473DD">
        <w:rPr>
          <w:rFonts w:ascii="Calibri" w:hAnsi="Calibri"/>
          <w:color w:val="000000" w:themeColor="text1"/>
          <w:lang w:bidi="en-US"/>
        </w:rPr>
        <w:t xml:space="preserve">h placement course, Math 90, prior to enrolling in Math </w:t>
      </w:r>
      <w:r w:rsidR="008E707F" w:rsidRPr="000473DD">
        <w:rPr>
          <w:rFonts w:ascii="Calibri" w:hAnsi="Calibri"/>
          <w:color w:val="000000" w:themeColor="text1"/>
          <w:lang w:bidi="en-US"/>
        </w:rPr>
        <w:t>110</w:t>
      </w:r>
    </w:p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307A8C" w:rsidRPr="000473DD" w:rsidRDefault="00307A8C" w:rsidP="00307A8C">
      <w:p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Note that Math 90 is a prerequisite for Math 110.  Students who placed into pre-collegiate Math 90 or below, but did not successfully complete Math 90 prior to enrolling in Math 110 would have been required to demonstrate equivalent preparation, for example through post-test advising or taking the Math 90 prerequisite at another college.</w:t>
      </w:r>
    </w:p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rPr>
          <w:rFonts w:ascii="Calibri" w:hAnsi="Calibri"/>
          <w:i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Table </w:t>
      </w:r>
      <w:r w:rsidR="003C68C2" w:rsidRPr="000473DD">
        <w:rPr>
          <w:rFonts w:ascii="Calibri" w:hAnsi="Calibri"/>
          <w:color w:val="000000" w:themeColor="text1"/>
          <w:lang w:bidi="en-US"/>
        </w:rPr>
        <w:t>2</w:t>
      </w:r>
      <w:r w:rsidRPr="000473DD">
        <w:rPr>
          <w:rFonts w:ascii="Calibri" w:hAnsi="Calibri"/>
          <w:color w:val="000000" w:themeColor="text1"/>
          <w:lang w:bidi="en-US"/>
        </w:rPr>
        <w:t>.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Math 1</w:t>
      </w:r>
      <w:r w:rsidR="002B7D74" w:rsidRPr="000473DD">
        <w:rPr>
          <w:rFonts w:ascii="Calibri" w:hAnsi="Calibri"/>
          <w:i/>
          <w:color w:val="000000" w:themeColor="text1"/>
          <w:lang w:bidi="en-US"/>
        </w:rPr>
        <w:t>10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success rates (through Spring 2009) for pre-collegiate Math students who did and did not successfully complete the pre-collegiate sequence prior to the gateway course</w:t>
      </w:r>
    </w:p>
    <w:tbl>
      <w:tblPr>
        <w:tblStyle w:val="LightShading-Accent11"/>
        <w:tblW w:w="7098" w:type="dxa"/>
        <w:tblInd w:w="10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</w:tblGrid>
      <w:tr w:rsidR="00EC08A0" w:rsidRPr="000473DD" w:rsidTr="00F725C5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</w:p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</w:p>
          <w:p w:rsidR="00EC08A0" w:rsidRPr="000473DD" w:rsidRDefault="00EC08A0" w:rsidP="00F725C5">
            <w:pPr>
              <w:rPr>
                <w:color w:val="000000" w:themeColor="text1"/>
              </w:rPr>
            </w:pPr>
          </w:p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Course Outcome</w:t>
            </w:r>
          </w:p>
        </w:tc>
        <w:tc>
          <w:tcPr>
            <w:tcW w:w="5280" w:type="dxa"/>
            <w:gridSpan w:val="4"/>
            <w:vAlign w:val="center"/>
          </w:tcPr>
          <w:p w:rsidR="00EC08A0" w:rsidRPr="000473DD" w:rsidRDefault="00EC08A0" w:rsidP="00F725C5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Math 1</w:t>
            </w:r>
            <w:r w:rsidR="002B7D74" w:rsidRPr="000473DD">
              <w:rPr>
                <w:color w:val="000000" w:themeColor="text1"/>
              </w:rPr>
              <w:t>10</w:t>
            </w:r>
            <w:r w:rsidRPr="000473DD">
              <w:rPr>
                <w:color w:val="000000" w:themeColor="text1"/>
              </w:rPr>
              <w:t xml:space="preserve"> Success Rates</w:t>
            </w:r>
          </w:p>
          <w:p w:rsidR="00EC08A0" w:rsidRPr="000473DD" w:rsidRDefault="00EC08A0" w:rsidP="00F725C5">
            <w:pPr>
              <w:jc w:val="center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0473DD">
              <w:rPr>
                <w:color w:val="000000" w:themeColor="text1"/>
              </w:rPr>
              <w:t>(Through Spring 2009)</w:t>
            </w:r>
          </w:p>
        </w:tc>
      </w:tr>
      <w:tr w:rsidR="00EC08A0" w:rsidRPr="000473DD" w:rsidTr="00F725C5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EC08A0" w:rsidRPr="000473DD" w:rsidRDefault="00EC08A0" w:rsidP="00F725C5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Successfully Completed Math 90 Prior to Gateway Course Enrollment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Did Not Successfully Complete Math 90 Prior to Gateway Course Enrollment</w:t>
            </w:r>
          </w:p>
        </w:tc>
      </w:tr>
      <w:tr w:rsidR="00EC08A0" w:rsidRPr="000473DD" w:rsidTr="00F725C5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EC08A0" w:rsidRPr="000473DD" w:rsidRDefault="00EC08A0" w:rsidP="00F725C5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Count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Count</w:t>
            </w:r>
          </w:p>
        </w:tc>
        <w:tc>
          <w:tcPr>
            <w:tcW w:w="1320" w:type="dxa"/>
            <w:vAlign w:val="center"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</w:tr>
      <w:tr w:rsidR="00EC08A0" w:rsidRPr="000473DD" w:rsidTr="005204DF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Successful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73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0363DD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44.5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8</w:t>
            </w:r>
          </w:p>
        </w:tc>
        <w:tc>
          <w:tcPr>
            <w:tcW w:w="1320" w:type="dxa"/>
            <w:vAlign w:val="center"/>
          </w:tcPr>
          <w:p w:rsidR="00EC08A0" w:rsidRPr="000473DD" w:rsidRDefault="000363DD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72.7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C08A0" w:rsidRPr="000473DD" w:rsidTr="005204DF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Not Successful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40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0363DD" w:rsidP="00F725C5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24.4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</w:t>
            </w:r>
          </w:p>
        </w:tc>
        <w:tc>
          <w:tcPr>
            <w:tcW w:w="1320" w:type="dxa"/>
            <w:vAlign w:val="center"/>
          </w:tcPr>
          <w:p w:rsidR="00EC08A0" w:rsidRPr="000473DD" w:rsidRDefault="000363DD" w:rsidP="00F725C5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18.2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C08A0" w:rsidRPr="000473DD" w:rsidTr="005204DF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Withdrew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51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0363DD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31.1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</w:t>
            </w:r>
          </w:p>
        </w:tc>
        <w:tc>
          <w:tcPr>
            <w:tcW w:w="1320" w:type="dxa"/>
            <w:vAlign w:val="center"/>
          </w:tcPr>
          <w:p w:rsidR="00EC08A0" w:rsidRPr="000473DD" w:rsidRDefault="000363DD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9.1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C08A0" w:rsidRPr="000473DD" w:rsidTr="005204DF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Total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164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CF3905" w:rsidP="00F725C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tcMar>
              <w:left w:w="115" w:type="dxa"/>
              <w:right w:w="288" w:type="dxa"/>
            </w:tcMar>
            <w:vAlign w:val="center"/>
            <w:hideMark/>
          </w:tcPr>
          <w:p w:rsidR="00EC08A0" w:rsidRPr="000473DD" w:rsidRDefault="000363DD" w:rsidP="005204DF">
            <w:pPr>
              <w:tabs>
                <w:tab w:val="left" w:pos="564"/>
                <w:tab w:val="left" w:pos="654"/>
              </w:tabs>
              <w:ind w:right="18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11</w:t>
            </w:r>
          </w:p>
        </w:tc>
        <w:tc>
          <w:tcPr>
            <w:tcW w:w="1320" w:type="dxa"/>
            <w:vAlign w:val="center"/>
          </w:tcPr>
          <w:p w:rsidR="00EC08A0" w:rsidRPr="000473DD" w:rsidRDefault="00CF3905" w:rsidP="00F725C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</w:tr>
    </w:tbl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F632CD">
      <w:pPr>
        <w:rPr>
          <w:rFonts w:ascii="Calibri" w:hAnsi="Calibri"/>
          <w:color w:val="000000" w:themeColor="text1"/>
          <w:lang w:bidi="en-US"/>
        </w:rPr>
      </w:pPr>
    </w:p>
    <w:p w:rsidR="00BA5624" w:rsidRPr="000473DD" w:rsidRDefault="00BA5624" w:rsidP="00EC08A0">
      <w:pPr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EC08A0" w:rsidRPr="000473DD" w:rsidRDefault="00EC08A0" w:rsidP="00EC08A0">
      <w:pPr>
        <w:rPr>
          <w:rFonts w:ascii="Calibri" w:hAnsi="Calibri"/>
          <w:b/>
          <w:color w:val="000000" w:themeColor="text1"/>
          <w:u w:val="single"/>
          <w:lang w:bidi="en-US"/>
        </w:rPr>
      </w:pPr>
      <w:r w:rsidRPr="000473DD">
        <w:rPr>
          <w:rFonts w:ascii="Calibri" w:hAnsi="Calibri"/>
          <w:b/>
          <w:color w:val="000000" w:themeColor="text1"/>
          <w:u w:val="single"/>
          <w:lang w:bidi="en-US"/>
        </w:rPr>
        <w:lastRenderedPageBreak/>
        <w:t>Math 103/110</w:t>
      </w:r>
    </w:p>
    <w:p w:rsidR="00EC08A0" w:rsidRPr="000473DD" w:rsidRDefault="00EC08A0" w:rsidP="00EC08A0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EC08A0" w:rsidRPr="000473DD" w:rsidRDefault="00EC08A0" w:rsidP="00EC08A0">
      <w:pPr>
        <w:jc w:val="both"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The following section shows success rates </w:t>
      </w:r>
      <w:r w:rsidR="000909E8" w:rsidRPr="000473DD">
        <w:rPr>
          <w:rFonts w:ascii="Calibri" w:hAnsi="Calibri"/>
          <w:color w:val="000000" w:themeColor="text1"/>
          <w:lang w:bidi="en-US"/>
        </w:rPr>
        <w:t xml:space="preserve">in Math 103 and Math 110 combined, </w:t>
      </w:r>
      <w:r w:rsidRPr="000473DD">
        <w:rPr>
          <w:rFonts w:ascii="Calibri" w:hAnsi="Calibri"/>
          <w:color w:val="000000" w:themeColor="text1"/>
          <w:lang w:bidi="en-US"/>
        </w:rPr>
        <w:t>through Spring 2009</w:t>
      </w:r>
      <w:r w:rsidR="000909E8" w:rsidRPr="000473DD">
        <w:rPr>
          <w:rFonts w:ascii="Calibri" w:hAnsi="Calibri"/>
          <w:color w:val="000000" w:themeColor="text1"/>
          <w:lang w:bidi="en-US"/>
        </w:rPr>
        <w:t>,</w:t>
      </w:r>
      <w:r w:rsidRPr="000473DD">
        <w:rPr>
          <w:rFonts w:ascii="Calibri" w:hAnsi="Calibri"/>
          <w:color w:val="000000" w:themeColor="text1"/>
          <w:lang w:bidi="en-US"/>
        </w:rPr>
        <w:t xml:space="preserve"> for students who were assessed into pre-collegiate Math (Math 90 or below) for Fall 2006.  Rates are presented separately for two subgroups:</w:t>
      </w:r>
    </w:p>
    <w:p w:rsidR="00EC08A0" w:rsidRPr="000473DD" w:rsidRDefault="00EC08A0" w:rsidP="00EC08A0">
      <w:pPr>
        <w:jc w:val="both"/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pStyle w:val="ListParagraph"/>
        <w:numPr>
          <w:ilvl w:val="0"/>
          <w:numId w:val="12"/>
        </w:num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>Enrollments for students who successfully completed the highest lev</w:t>
      </w:r>
      <w:r w:rsidRPr="00E8003D">
        <w:rPr>
          <w:rFonts w:ascii="Calibri" w:hAnsi="Calibri"/>
          <w:color w:val="000000" w:themeColor="text1"/>
          <w:lang w:bidi="en-US"/>
        </w:rPr>
        <w:t>e</w:t>
      </w:r>
      <w:r w:rsidRPr="000473DD">
        <w:rPr>
          <w:rFonts w:ascii="Calibri" w:hAnsi="Calibri"/>
          <w:color w:val="000000" w:themeColor="text1"/>
          <w:lang w:bidi="en-US"/>
        </w:rPr>
        <w:t>l</w:t>
      </w:r>
      <w:r w:rsidRPr="000473DD">
        <w:rPr>
          <w:rFonts w:ascii="Calibri" w:hAnsi="Calibri"/>
          <w:b/>
          <w:color w:val="000000" w:themeColor="text1"/>
          <w:lang w:bidi="en-US"/>
        </w:rPr>
        <w:t xml:space="preserve"> </w:t>
      </w:r>
      <w:r w:rsidRPr="000473DD">
        <w:rPr>
          <w:rFonts w:ascii="Calibri" w:hAnsi="Calibri"/>
          <w:color w:val="000000" w:themeColor="text1"/>
          <w:lang w:bidi="en-US"/>
        </w:rPr>
        <w:t>pre-collegiate Math placement course, Math 90, prior to enrolling in Math 103</w:t>
      </w:r>
      <w:r w:rsidR="008E707F" w:rsidRPr="000473DD">
        <w:rPr>
          <w:rFonts w:ascii="Calibri" w:hAnsi="Calibri"/>
          <w:color w:val="000000" w:themeColor="text1"/>
          <w:lang w:bidi="en-US"/>
        </w:rPr>
        <w:t>/110</w:t>
      </w:r>
    </w:p>
    <w:p w:rsidR="00EC08A0" w:rsidRPr="000473DD" w:rsidRDefault="00EC08A0" w:rsidP="00EC08A0">
      <w:pPr>
        <w:pStyle w:val="ListParagraph"/>
        <w:numPr>
          <w:ilvl w:val="0"/>
          <w:numId w:val="12"/>
        </w:num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Enrollments for students who did not successfully complete the highest level pre-collegiate </w:t>
      </w:r>
      <w:r w:rsidR="00D54B94" w:rsidRPr="000473DD">
        <w:rPr>
          <w:rFonts w:ascii="Calibri" w:hAnsi="Calibri"/>
          <w:color w:val="000000" w:themeColor="text1"/>
          <w:lang w:bidi="en-US"/>
        </w:rPr>
        <w:t>Mat</w:t>
      </w:r>
      <w:r w:rsidRPr="000473DD">
        <w:rPr>
          <w:rFonts w:ascii="Calibri" w:hAnsi="Calibri"/>
          <w:color w:val="000000" w:themeColor="text1"/>
          <w:lang w:bidi="en-US"/>
        </w:rPr>
        <w:t>h placement course, Math 90, prior to enrolling in Math 103</w:t>
      </w:r>
      <w:r w:rsidR="008E707F" w:rsidRPr="000473DD">
        <w:rPr>
          <w:rFonts w:ascii="Calibri" w:hAnsi="Calibri"/>
          <w:color w:val="000000" w:themeColor="text1"/>
          <w:lang w:bidi="en-US"/>
        </w:rPr>
        <w:t>/110</w:t>
      </w:r>
    </w:p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171857" w:rsidRPr="000473DD" w:rsidRDefault="00171857" w:rsidP="00171857">
      <w:pPr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Note that Math 90 is a prerequisite for Math 103 and </w:t>
      </w:r>
      <w:r w:rsidR="00BB0375" w:rsidRPr="000473DD">
        <w:rPr>
          <w:rFonts w:ascii="Calibri" w:hAnsi="Calibri"/>
          <w:color w:val="000000" w:themeColor="text1"/>
          <w:lang w:bidi="en-US"/>
        </w:rPr>
        <w:t xml:space="preserve">Math </w:t>
      </w:r>
      <w:r w:rsidRPr="000473DD">
        <w:rPr>
          <w:rFonts w:ascii="Calibri" w:hAnsi="Calibri"/>
          <w:color w:val="000000" w:themeColor="text1"/>
          <w:lang w:bidi="en-US"/>
        </w:rPr>
        <w:t xml:space="preserve">110.  Students who placed into pre-collegiate Math 90 or below, but did not successfully complete Math 90 prior to enrolling in Math 103 or </w:t>
      </w:r>
      <w:r w:rsidR="00BB0375" w:rsidRPr="000473DD">
        <w:rPr>
          <w:rFonts w:ascii="Calibri" w:hAnsi="Calibri"/>
          <w:color w:val="000000" w:themeColor="text1"/>
          <w:lang w:bidi="en-US"/>
        </w:rPr>
        <w:t xml:space="preserve">Math </w:t>
      </w:r>
      <w:r w:rsidRPr="000473DD">
        <w:rPr>
          <w:rFonts w:ascii="Calibri" w:hAnsi="Calibri"/>
          <w:color w:val="000000" w:themeColor="text1"/>
          <w:lang w:bidi="en-US"/>
        </w:rPr>
        <w:t>110 would have been required to demonstrate equivalent preparation, for example through post-test advising or taking the Math 90 prerequisite at another college.</w:t>
      </w:r>
    </w:p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rPr>
          <w:rFonts w:ascii="Calibri" w:hAnsi="Calibri"/>
          <w:i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Table </w:t>
      </w:r>
      <w:r w:rsidR="003C68C2" w:rsidRPr="000473DD">
        <w:rPr>
          <w:rFonts w:ascii="Calibri" w:hAnsi="Calibri"/>
          <w:color w:val="000000" w:themeColor="text1"/>
          <w:lang w:bidi="en-US"/>
        </w:rPr>
        <w:t>3</w:t>
      </w:r>
      <w:r w:rsidRPr="000473DD">
        <w:rPr>
          <w:rFonts w:ascii="Calibri" w:hAnsi="Calibri"/>
          <w:color w:val="000000" w:themeColor="text1"/>
          <w:lang w:bidi="en-US"/>
        </w:rPr>
        <w:t>.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Math 103</w:t>
      </w:r>
      <w:r w:rsidR="00BB0375" w:rsidRPr="000473DD">
        <w:rPr>
          <w:rFonts w:ascii="Calibri" w:hAnsi="Calibri"/>
          <w:i/>
          <w:color w:val="000000" w:themeColor="text1"/>
          <w:lang w:bidi="en-US"/>
        </w:rPr>
        <w:t xml:space="preserve"> &amp; Math </w:t>
      </w:r>
      <w:r w:rsidR="005D5FCE" w:rsidRPr="000473DD">
        <w:rPr>
          <w:rFonts w:ascii="Calibri" w:hAnsi="Calibri"/>
          <w:i/>
          <w:color w:val="000000" w:themeColor="text1"/>
          <w:lang w:bidi="en-US"/>
        </w:rPr>
        <w:t>110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enrollments (through Spring 2009) for students assessed into pre-collegiate Math for Fall 2006</w:t>
      </w:r>
    </w:p>
    <w:tbl>
      <w:tblPr>
        <w:tblStyle w:val="LightShading-Accent11"/>
        <w:tblW w:w="9576" w:type="dxa"/>
        <w:tblInd w:w="108" w:type="dxa"/>
        <w:tblLayout w:type="fixed"/>
        <w:tblLook w:val="04A0"/>
      </w:tblPr>
      <w:tblGrid>
        <w:gridCol w:w="2823"/>
        <w:gridCol w:w="1576"/>
        <w:gridCol w:w="1814"/>
        <w:gridCol w:w="1681"/>
        <w:gridCol w:w="1682"/>
      </w:tblGrid>
      <w:tr w:rsidR="00EC08A0" w:rsidRPr="000473DD" w:rsidTr="00F725C5">
        <w:trPr>
          <w:cnfStyle w:val="100000000000"/>
          <w:trHeight w:val="300"/>
        </w:trPr>
        <w:tc>
          <w:tcPr>
            <w:cnfStyle w:val="001000000000"/>
            <w:tcW w:w="2823" w:type="dxa"/>
            <w:vMerge w:val="restart"/>
            <w:hideMark/>
          </w:tcPr>
          <w:p w:rsidR="00EC08A0" w:rsidRPr="000473DD" w:rsidRDefault="00EC08A0" w:rsidP="00F725C5">
            <w:pPr>
              <w:rPr>
                <w:color w:val="000000" w:themeColor="text1"/>
              </w:rPr>
            </w:pPr>
          </w:p>
        </w:tc>
        <w:tc>
          <w:tcPr>
            <w:tcW w:w="3390" w:type="dxa"/>
            <w:gridSpan w:val="2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Math 103</w:t>
            </w:r>
            <w:r w:rsidR="005D5FCE" w:rsidRPr="000473DD">
              <w:rPr>
                <w:color w:val="000000" w:themeColor="text1"/>
              </w:rPr>
              <w:t>/110</w:t>
            </w:r>
          </w:p>
          <w:p w:rsidR="00EC08A0" w:rsidRPr="000473DD" w:rsidRDefault="00EC08A0" w:rsidP="00F725C5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Students</w:t>
            </w:r>
          </w:p>
        </w:tc>
        <w:tc>
          <w:tcPr>
            <w:tcW w:w="3363" w:type="dxa"/>
            <w:gridSpan w:val="2"/>
            <w:vAlign w:val="center"/>
          </w:tcPr>
          <w:p w:rsidR="00EC08A0" w:rsidRPr="000473DD" w:rsidRDefault="00EC08A0" w:rsidP="00F725C5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Math 103</w:t>
            </w:r>
            <w:r w:rsidR="005D5FCE" w:rsidRPr="000473DD">
              <w:rPr>
                <w:color w:val="000000" w:themeColor="text1"/>
              </w:rPr>
              <w:t>/110</w:t>
            </w:r>
          </w:p>
          <w:p w:rsidR="00EC08A0" w:rsidRPr="000473DD" w:rsidRDefault="00EC08A0" w:rsidP="00F725C5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Enrollments</w:t>
            </w:r>
          </w:p>
        </w:tc>
      </w:tr>
      <w:tr w:rsidR="00EC08A0" w:rsidRPr="000473DD" w:rsidTr="00F725C5">
        <w:trPr>
          <w:cnfStyle w:val="000000100000"/>
          <w:trHeight w:val="300"/>
        </w:trPr>
        <w:tc>
          <w:tcPr>
            <w:cnfStyle w:val="001000000000"/>
            <w:tcW w:w="2823" w:type="dxa"/>
            <w:vMerge/>
            <w:hideMark/>
          </w:tcPr>
          <w:p w:rsidR="00EC08A0" w:rsidRPr="000473DD" w:rsidRDefault="00EC08A0" w:rsidP="00F725C5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Number</w:t>
            </w:r>
          </w:p>
        </w:tc>
        <w:tc>
          <w:tcPr>
            <w:tcW w:w="1814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  <w:tc>
          <w:tcPr>
            <w:tcW w:w="1681" w:type="dxa"/>
            <w:vAlign w:val="center"/>
          </w:tcPr>
          <w:p w:rsidR="00EC08A0" w:rsidRPr="000473DD" w:rsidRDefault="00EC08A0" w:rsidP="00F725C5">
            <w:pPr>
              <w:jc w:val="center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Number</w:t>
            </w:r>
          </w:p>
        </w:tc>
        <w:tc>
          <w:tcPr>
            <w:tcW w:w="1682" w:type="dxa"/>
            <w:vAlign w:val="center"/>
          </w:tcPr>
          <w:p w:rsidR="00EC08A0" w:rsidRPr="000473DD" w:rsidRDefault="00EC08A0" w:rsidP="00F725C5">
            <w:pPr>
              <w:jc w:val="center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</w:tr>
      <w:tr w:rsidR="00EC08A0" w:rsidRPr="000473DD" w:rsidTr="00F725C5">
        <w:trPr>
          <w:trHeight w:val="800"/>
        </w:trPr>
        <w:tc>
          <w:tcPr>
            <w:cnfStyle w:val="001000000000"/>
            <w:tcW w:w="2823" w:type="dxa"/>
            <w:tcMar>
              <w:left w:w="0" w:type="dxa"/>
              <w:right w:w="115" w:type="dxa"/>
            </w:tcMar>
            <w:vAlign w:val="center"/>
            <w:hideMark/>
          </w:tcPr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Successfully Completed Math 90 Prior to Gateway Course Enrollment</w:t>
            </w:r>
          </w:p>
        </w:tc>
        <w:tc>
          <w:tcPr>
            <w:tcW w:w="1576" w:type="dxa"/>
            <w:vAlign w:val="center"/>
            <w:hideMark/>
          </w:tcPr>
          <w:p w:rsidR="00EC08A0" w:rsidRPr="000473DD" w:rsidRDefault="008D4B6E" w:rsidP="00F725C5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252</w:t>
            </w:r>
          </w:p>
        </w:tc>
        <w:tc>
          <w:tcPr>
            <w:tcW w:w="1814" w:type="dxa"/>
            <w:vAlign w:val="center"/>
            <w:hideMark/>
          </w:tcPr>
          <w:p w:rsidR="00EC08A0" w:rsidRPr="000473DD" w:rsidRDefault="008D4B6E" w:rsidP="00F725C5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90.6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681" w:type="dxa"/>
            <w:vAlign w:val="center"/>
          </w:tcPr>
          <w:p w:rsidR="00EC08A0" w:rsidRPr="000473DD" w:rsidRDefault="00894339" w:rsidP="00F725C5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352</w:t>
            </w:r>
          </w:p>
        </w:tc>
        <w:tc>
          <w:tcPr>
            <w:tcW w:w="1682" w:type="dxa"/>
            <w:vAlign w:val="center"/>
          </w:tcPr>
          <w:p w:rsidR="00EC08A0" w:rsidRPr="000473DD" w:rsidRDefault="00894339" w:rsidP="00F725C5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91.7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C08A0" w:rsidRPr="000473DD" w:rsidTr="00F725C5">
        <w:trPr>
          <w:cnfStyle w:val="000000100000"/>
          <w:trHeight w:val="800"/>
        </w:trPr>
        <w:tc>
          <w:tcPr>
            <w:cnfStyle w:val="001000000000"/>
            <w:tcW w:w="2823" w:type="dxa"/>
            <w:tcMar>
              <w:left w:w="0" w:type="dxa"/>
              <w:right w:w="115" w:type="dxa"/>
            </w:tcMar>
            <w:vAlign w:val="center"/>
            <w:hideMark/>
          </w:tcPr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Did Not Successfully Complete Math 90 Prior to Gateway Course Enrollment</w:t>
            </w:r>
          </w:p>
        </w:tc>
        <w:tc>
          <w:tcPr>
            <w:tcW w:w="1576" w:type="dxa"/>
            <w:vAlign w:val="center"/>
            <w:hideMark/>
          </w:tcPr>
          <w:p w:rsidR="00EC08A0" w:rsidRPr="000473DD" w:rsidRDefault="008D4B6E" w:rsidP="00F725C5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26</w:t>
            </w:r>
          </w:p>
        </w:tc>
        <w:tc>
          <w:tcPr>
            <w:tcW w:w="1814" w:type="dxa"/>
            <w:vAlign w:val="center"/>
            <w:hideMark/>
          </w:tcPr>
          <w:p w:rsidR="00EC08A0" w:rsidRPr="000473DD" w:rsidRDefault="008D4B6E" w:rsidP="00F725C5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9.4</w:t>
            </w:r>
            <w:r w:rsidR="00EE1936" w:rsidRPr="000473DD">
              <w:rPr>
                <w:color w:val="000000" w:themeColor="text1"/>
              </w:rPr>
              <w:t>%</w:t>
            </w:r>
          </w:p>
        </w:tc>
        <w:tc>
          <w:tcPr>
            <w:tcW w:w="1681" w:type="dxa"/>
            <w:vAlign w:val="center"/>
          </w:tcPr>
          <w:p w:rsidR="00EC08A0" w:rsidRPr="000473DD" w:rsidRDefault="00894339" w:rsidP="00F725C5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32</w:t>
            </w:r>
          </w:p>
        </w:tc>
        <w:tc>
          <w:tcPr>
            <w:tcW w:w="1682" w:type="dxa"/>
            <w:vAlign w:val="center"/>
          </w:tcPr>
          <w:p w:rsidR="00EC08A0" w:rsidRPr="000473DD" w:rsidRDefault="00894339" w:rsidP="00F725C5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8.3</w:t>
            </w:r>
            <w:r w:rsidR="00EE1936" w:rsidRPr="000473DD">
              <w:rPr>
                <w:color w:val="000000" w:themeColor="text1"/>
              </w:rPr>
              <w:t>%</w:t>
            </w:r>
          </w:p>
        </w:tc>
      </w:tr>
      <w:tr w:rsidR="00EC08A0" w:rsidRPr="000473DD" w:rsidTr="00F725C5">
        <w:trPr>
          <w:trHeight w:val="369"/>
        </w:trPr>
        <w:tc>
          <w:tcPr>
            <w:cnfStyle w:val="001000000000"/>
            <w:tcW w:w="2823" w:type="dxa"/>
            <w:tcMar>
              <w:left w:w="0" w:type="dxa"/>
              <w:right w:w="115" w:type="dxa"/>
            </w:tcMar>
            <w:vAlign w:val="center"/>
            <w:hideMark/>
          </w:tcPr>
          <w:p w:rsidR="00EC08A0" w:rsidRPr="000473DD" w:rsidRDefault="00EC08A0" w:rsidP="006B15D1">
            <w:pPr>
              <w:jc w:val="center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Total</w:t>
            </w:r>
          </w:p>
        </w:tc>
        <w:tc>
          <w:tcPr>
            <w:tcW w:w="1576" w:type="dxa"/>
            <w:vAlign w:val="center"/>
            <w:hideMark/>
          </w:tcPr>
          <w:p w:rsidR="00EC08A0" w:rsidRPr="000473DD" w:rsidRDefault="00356D01" w:rsidP="00F725C5">
            <w:pPr>
              <w:ind w:right="477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278</w:t>
            </w:r>
          </w:p>
        </w:tc>
        <w:tc>
          <w:tcPr>
            <w:tcW w:w="1814" w:type="dxa"/>
            <w:vAlign w:val="center"/>
            <w:hideMark/>
          </w:tcPr>
          <w:p w:rsidR="00EC08A0" w:rsidRPr="000473DD" w:rsidRDefault="00356D01" w:rsidP="00F725C5">
            <w:pPr>
              <w:ind w:right="477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  <w:tc>
          <w:tcPr>
            <w:tcW w:w="1681" w:type="dxa"/>
            <w:vAlign w:val="center"/>
          </w:tcPr>
          <w:p w:rsidR="00EC08A0" w:rsidRPr="000473DD" w:rsidRDefault="00356D01" w:rsidP="00F725C5">
            <w:pPr>
              <w:ind w:right="477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384</w:t>
            </w:r>
          </w:p>
        </w:tc>
        <w:tc>
          <w:tcPr>
            <w:tcW w:w="1682" w:type="dxa"/>
            <w:vAlign w:val="center"/>
          </w:tcPr>
          <w:p w:rsidR="00EC08A0" w:rsidRPr="000473DD" w:rsidRDefault="00356D01" w:rsidP="00F725C5">
            <w:pPr>
              <w:ind w:right="477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</w:tr>
    </w:tbl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EC08A0" w:rsidRPr="000473DD" w:rsidRDefault="00EC08A0" w:rsidP="00EC08A0">
      <w:pPr>
        <w:rPr>
          <w:rFonts w:ascii="Calibri" w:hAnsi="Calibri"/>
          <w:i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Table </w:t>
      </w:r>
      <w:r w:rsidR="003C68C2" w:rsidRPr="000473DD">
        <w:rPr>
          <w:rFonts w:ascii="Calibri" w:hAnsi="Calibri"/>
          <w:color w:val="000000" w:themeColor="text1"/>
          <w:lang w:bidi="en-US"/>
        </w:rPr>
        <w:t>4</w:t>
      </w:r>
      <w:r w:rsidRPr="000473DD">
        <w:rPr>
          <w:rFonts w:ascii="Calibri" w:hAnsi="Calibri"/>
          <w:color w:val="000000" w:themeColor="text1"/>
          <w:lang w:bidi="en-US"/>
        </w:rPr>
        <w:t>.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C118EE" w:rsidRPr="000473DD">
        <w:rPr>
          <w:rFonts w:ascii="Calibri" w:hAnsi="Calibri"/>
          <w:i/>
          <w:color w:val="000000" w:themeColor="text1"/>
          <w:lang w:bidi="en-US"/>
        </w:rPr>
        <w:t>Math 103</w:t>
      </w:r>
      <w:r w:rsidR="00BB0375" w:rsidRPr="000473DD">
        <w:rPr>
          <w:rFonts w:ascii="Calibri" w:hAnsi="Calibri"/>
          <w:i/>
          <w:color w:val="000000" w:themeColor="text1"/>
          <w:lang w:bidi="en-US"/>
        </w:rPr>
        <w:t xml:space="preserve"> &amp; Math </w:t>
      </w:r>
      <w:r w:rsidR="00C118EE" w:rsidRPr="000473DD">
        <w:rPr>
          <w:rFonts w:ascii="Calibri" w:hAnsi="Calibri"/>
          <w:i/>
          <w:color w:val="000000" w:themeColor="text1"/>
          <w:lang w:bidi="en-US"/>
        </w:rPr>
        <w:t>110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success rates (through Spring 2009) for pre-collegiate Math students who did and did not successfully complete the pre-collegiate sequence prior to the gateway course</w:t>
      </w:r>
    </w:p>
    <w:tbl>
      <w:tblPr>
        <w:tblStyle w:val="LightShading-Accent11"/>
        <w:tblW w:w="7098" w:type="dxa"/>
        <w:tblInd w:w="10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</w:tblGrid>
      <w:tr w:rsidR="00EC08A0" w:rsidRPr="000473DD" w:rsidTr="00F725C5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</w:p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</w:p>
          <w:p w:rsidR="00EC08A0" w:rsidRPr="000473DD" w:rsidRDefault="00EC08A0" w:rsidP="00F725C5">
            <w:pPr>
              <w:rPr>
                <w:color w:val="000000" w:themeColor="text1"/>
              </w:rPr>
            </w:pPr>
          </w:p>
          <w:p w:rsidR="00EC08A0" w:rsidRPr="000473DD" w:rsidRDefault="00EC08A0" w:rsidP="00F725C5">
            <w:pPr>
              <w:jc w:val="center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Course Outcome</w:t>
            </w:r>
          </w:p>
        </w:tc>
        <w:tc>
          <w:tcPr>
            <w:tcW w:w="5280" w:type="dxa"/>
            <w:gridSpan w:val="4"/>
            <w:vAlign w:val="center"/>
          </w:tcPr>
          <w:p w:rsidR="00EC08A0" w:rsidRPr="000473DD" w:rsidRDefault="00EC08A0" w:rsidP="00F725C5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Math 103</w:t>
            </w:r>
            <w:r w:rsidR="00700CC9" w:rsidRPr="000473DD">
              <w:rPr>
                <w:color w:val="000000" w:themeColor="text1"/>
              </w:rPr>
              <w:t>/110</w:t>
            </w:r>
            <w:r w:rsidRPr="000473DD">
              <w:rPr>
                <w:color w:val="000000" w:themeColor="text1"/>
              </w:rPr>
              <w:t xml:space="preserve"> Success Rates</w:t>
            </w:r>
          </w:p>
          <w:p w:rsidR="00EC08A0" w:rsidRPr="000473DD" w:rsidRDefault="00EC08A0" w:rsidP="00F725C5">
            <w:pPr>
              <w:jc w:val="center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0473DD">
              <w:rPr>
                <w:color w:val="000000" w:themeColor="text1"/>
              </w:rPr>
              <w:t>(Through Spring 2009)</w:t>
            </w:r>
          </w:p>
        </w:tc>
      </w:tr>
      <w:tr w:rsidR="00EC08A0" w:rsidRPr="000473DD" w:rsidTr="00F725C5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EC08A0" w:rsidRPr="000473DD" w:rsidRDefault="00EC08A0" w:rsidP="00F725C5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Successfully Completed Math 90 Prior to Gateway Course Enrollment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Did Not Successfully Complete Math 90 Prior to Gateway Course Enrollment</w:t>
            </w:r>
          </w:p>
        </w:tc>
      </w:tr>
      <w:tr w:rsidR="00EC08A0" w:rsidRPr="000473DD" w:rsidTr="00F725C5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EC08A0" w:rsidRPr="000473DD" w:rsidRDefault="00EC08A0" w:rsidP="00F725C5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Count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Count</w:t>
            </w:r>
          </w:p>
        </w:tc>
        <w:tc>
          <w:tcPr>
            <w:tcW w:w="1320" w:type="dxa"/>
            <w:vAlign w:val="center"/>
          </w:tcPr>
          <w:p w:rsidR="00EC08A0" w:rsidRPr="000473DD" w:rsidRDefault="00EC08A0" w:rsidP="00F725C5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Percent</w:t>
            </w:r>
          </w:p>
        </w:tc>
      </w:tr>
      <w:tr w:rsidR="00EC08A0" w:rsidRPr="000473DD" w:rsidTr="00F725C5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Successful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182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51.7%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17</w:t>
            </w:r>
          </w:p>
        </w:tc>
        <w:tc>
          <w:tcPr>
            <w:tcW w:w="1320" w:type="dxa"/>
            <w:vAlign w:val="center"/>
          </w:tcPr>
          <w:p w:rsidR="00EC08A0" w:rsidRPr="000473DD" w:rsidRDefault="00A958AA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53.1%</w:t>
            </w:r>
          </w:p>
        </w:tc>
      </w:tr>
      <w:tr w:rsidR="00EC08A0" w:rsidRPr="000473DD" w:rsidTr="00F725C5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Not Successful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79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22.4%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6</w:t>
            </w:r>
          </w:p>
        </w:tc>
        <w:tc>
          <w:tcPr>
            <w:tcW w:w="1320" w:type="dxa"/>
            <w:vAlign w:val="center"/>
          </w:tcPr>
          <w:p w:rsidR="00EC08A0" w:rsidRPr="000473DD" w:rsidRDefault="00A958AA" w:rsidP="00F725C5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18.8%</w:t>
            </w:r>
          </w:p>
        </w:tc>
      </w:tr>
      <w:tr w:rsidR="00EC08A0" w:rsidRPr="000473DD" w:rsidTr="00F725C5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Withdrew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91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25.9%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</w:t>
            </w:r>
          </w:p>
        </w:tc>
        <w:tc>
          <w:tcPr>
            <w:tcW w:w="1320" w:type="dxa"/>
            <w:vAlign w:val="center"/>
          </w:tcPr>
          <w:p w:rsidR="00EC08A0" w:rsidRPr="000473DD" w:rsidRDefault="00A958AA" w:rsidP="00F725C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28.1%</w:t>
            </w:r>
          </w:p>
        </w:tc>
      </w:tr>
      <w:tr w:rsidR="00EC08A0" w:rsidRPr="000473DD" w:rsidTr="00F725C5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C08A0" w:rsidRPr="000473DD" w:rsidRDefault="00EC08A0" w:rsidP="00F725C5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Total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352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5722AF" w:rsidP="00F725C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vAlign w:val="center"/>
            <w:hideMark/>
          </w:tcPr>
          <w:p w:rsidR="00EC08A0" w:rsidRPr="000473DD" w:rsidRDefault="00A958AA" w:rsidP="00F725C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32</w:t>
            </w:r>
          </w:p>
        </w:tc>
        <w:tc>
          <w:tcPr>
            <w:tcW w:w="1320" w:type="dxa"/>
            <w:vAlign w:val="center"/>
          </w:tcPr>
          <w:p w:rsidR="00EC08A0" w:rsidRPr="000473DD" w:rsidRDefault="005722AF" w:rsidP="00F725C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100.0%</w:t>
            </w:r>
          </w:p>
        </w:tc>
      </w:tr>
    </w:tbl>
    <w:p w:rsidR="00EC08A0" w:rsidRPr="000473DD" w:rsidRDefault="00EC08A0" w:rsidP="00EC08A0">
      <w:pPr>
        <w:rPr>
          <w:rFonts w:ascii="Calibri" w:hAnsi="Calibri"/>
          <w:color w:val="000000" w:themeColor="text1"/>
          <w:lang w:bidi="en-US"/>
        </w:rPr>
      </w:pPr>
    </w:p>
    <w:p w:rsidR="008B0B79" w:rsidRPr="000473DD" w:rsidRDefault="008B0B79" w:rsidP="00F632CD">
      <w:pPr>
        <w:rPr>
          <w:rFonts w:ascii="Calibri" w:hAnsi="Calibri"/>
          <w:color w:val="000000" w:themeColor="text1"/>
          <w:lang w:bidi="en-US"/>
        </w:rPr>
      </w:pPr>
    </w:p>
    <w:p w:rsidR="009F390A" w:rsidRPr="000473DD" w:rsidRDefault="009F390A">
      <w:pPr>
        <w:spacing w:after="200" w:line="276" w:lineRule="auto"/>
        <w:rPr>
          <w:rFonts w:ascii="Calibri" w:hAnsi="Calibri"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br w:type="page"/>
      </w:r>
    </w:p>
    <w:p w:rsidR="00F632CD" w:rsidRPr="000473DD" w:rsidRDefault="00F632CD" w:rsidP="00F632CD">
      <w:pPr>
        <w:rPr>
          <w:rFonts w:ascii="Calibri" w:hAnsi="Calibri"/>
          <w:i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lastRenderedPageBreak/>
        <w:t xml:space="preserve">Table </w:t>
      </w:r>
      <w:r w:rsidR="003C68C2" w:rsidRPr="000473DD">
        <w:rPr>
          <w:rFonts w:ascii="Calibri" w:hAnsi="Calibri"/>
          <w:color w:val="000000" w:themeColor="text1"/>
          <w:lang w:bidi="en-US"/>
        </w:rPr>
        <w:t>5</w:t>
      </w:r>
      <w:r w:rsidRPr="000473DD">
        <w:rPr>
          <w:rFonts w:ascii="Calibri" w:hAnsi="Calibri"/>
          <w:color w:val="000000" w:themeColor="text1"/>
          <w:lang w:bidi="en-US"/>
        </w:rPr>
        <w:t>.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C118EE" w:rsidRPr="000473DD">
        <w:rPr>
          <w:rFonts w:ascii="Calibri" w:hAnsi="Calibri"/>
          <w:i/>
          <w:color w:val="000000" w:themeColor="text1"/>
          <w:lang w:bidi="en-US"/>
        </w:rPr>
        <w:t>Math 103</w:t>
      </w:r>
      <w:r w:rsidR="00E038BD"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BB0375" w:rsidRPr="000473DD">
        <w:rPr>
          <w:rFonts w:ascii="Calibri" w:hAnsi="Calibri"/>
          <w:i/>
          <w:color w:val="000000" w:themeColor="text1"/>
          <w:lang w:bidi="en-US"/>
        </w:rPr>
        <w:t>&amp;</w:t>
      </w:r>
      <w:r w:rsidR="00E038BD"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C118EE" w:rsidRPr="000473DD">
        <w:rPr>
          <w:rFonts w:ascii="Calibri" w:hAnsi="Calibri"/>
          <w:i/>
          <w:color w:val="000000" w:themeColor="text1"/>
          <w:lang w:bidi="en-US"/>
        </w:rPr>
        <w:t xml:space="preserve">110 </w:t>
      </w:r>
      <w:r w:rsidR="00D94200" w:rsidRPr="000473DD">
        <w:rPr>
          <w:rFonts w:ascii="Calibri" w:hAnsi="Calibri"/>
          <w:i/>
          <w:color w:val="000000" w:themeColor="text1"/>
          <w:lang w:bidi="en-US"/>
        </w:rPr>
        <w:t xml:space="preserve">success rates </w:t>
      </w:r>
      <w:r w:rsidR="008D102D" w:rsidRPr="000473DD">
        <w:rPr>
          <w:rFonts w:ascii="Calibri" w:hAnsi="Calibri"/>
          <w:i/>
          <w:color w:val="000000" w:themeColor="text1"/>
          <w:lang w:bidi="en-US"/>
        </w:rPr>
        <w:t>(through Spring 2009)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D94200" w:rsidRPr="000473DD">
        <w:rPr>
          <w:rFonts w:ascii="Calibri" w:hAnsi="Calibri"/>
          <w:i/>
          <w:color w:val="000000" w:themeColor="text1"/>
          <w:lang w:bidi="en-US"/>
        </w:rPr>
        <w:t xml:space="preserve">for pre-collegiate </w:t>
      </w:r>
      <w:r w:rsidR="00E74542" w:rsidRPr="000473DD">
        <w:rPr>
          <w:rFonts w:ascii="Calibri" w:hAnsi="Calibri"/>
          <w:i/>
          <w:color w:val="000000" w:themeColor="text1"/>
          <w:lang w:bidi="en-US"/>
        </w:rPr>
        <w:t>Mat</w:t>
      </w:r>
      <w:r w:rsidR="00D94200" w:rsidRPr="000473DD">
        <w:rPr>
          <w:rFonts w:ascii="Calibri" w:hAnsi="Calibri"/>
          <w:i/>
          <w:color w:val="000000" w:themeColor="text1"/>
          <w:lang w:bidi="en-US"/>
        </w:rPr>
        <w:t>h students who did and did not successfully complete the pre-collegiate sequence prior to the gateway course by gender</w:t>
      </w:r>
    </w:p>
    <w:tbl>
      <w:tblPr>
        <w:tblStyle w:val="LightShading-Accent11"/>
        <w:tblW w:w="7098" w:type="dxa"/>
        <w:tblInd w:w="10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</w:tblGrid>
      <w:tr w:rsidR="00E74542" w:rsidRPr="000473DD" w:rsidTr="0044595C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E74542" w:rsidRPr="000473DD" w:rsidRDefault="00E74542" w:rsidP="00CA5AF0">
            <w:pPr>
              <w:jc w:val="center"/>
              <w:rPr>
                <w:color w:val="000000" w:themeColor="text1"/>
              </w:rPr>
            </w:pPr>
          </w:p>
          <w:p w:rsidR="00E74542" w:rsidRPr="000473DD" w:rsidRDefault="00E74542" w:rsidP="00CA5AF0">
            <w:pPr>
              <w:jc w:val="center"/>
              <w:rPr>
                <w:color w:val="000000" w:themeColor="text1"/>
              </w:rPr>
            </w:pPr>
          </w:p>
          <w:p w:rsidR="00E74542" w:rsidRPr="000473DD" w:rsidRDefault="00E74542" w:rsidP="00CA5AF0">
            <w:pPr>
              <w:rPr>
                <w:color w:val="000000" w:themeColor="text1"/>
              </w:rPr>
            </w:pPr>
          </w:p>
          <w:p w:rsidR="00E74542" w:rsidRPr="000473DD" w:rsidRDefault="00E74542" w:rsidP="00CA5A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0" w:type="dxa"/>
            <w:gridSpan w:val="4"/>
            <w:vAlign w:val="center"/>
          </w:tcPr>
          <w:p w:rsidR="00E74542" w:rsidRPr="000473DD" w:rsidRDefault="00E74542" w:rsidP="005126CC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Math</w:t>
            </w:r>
            <w:r w:rsidR="003F5FBD" w:rsidRPr="000473DD">
              <w:rPr>
                <w:color w:val="000000" w:themeColor="text1"/>
              </w:rPr>
              <w:t xml:space="preserve"> 103</w:t>
            </w:r>
            <w:r w:rsidR="00700CC9" w:rsidRPr="000473DD">
              <w:rPr>
                <w:color w:val="000000" w:themeColor="text1"/>
              </w:rPr>
              <w:t>/110</w:t>
            </w:r>
            <w:r w:rsidRPr="000473DD">
              <w:rPr>
                <w:color w:val="000000" w:themeColor="text1"/>
              </w:rPr>
              <w:t xml:space="preserve"> Success Rates</w:t>
            </w:r>
          </w:p>
          <w:p w:rsidR="00E74542" w:rsidRPr="000473DD" w:rsidRDefault="00E74542" w:rsidP="005126CC">
            <w:pPr>
              <w:jc w:val="center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0473DD">
              <w:rPr>
                <w:color w:val="000000" w:themeColor="text1"/>
              </w:rPr>
              <w:t>(Through Spring 2009)</w:t>
            </w:r>
          </w:p>
        </w:tc>
      </w:tr>
      <w:tr w:rsidR="00E74542" w:rsidRPr="000473DD" w:rsidTr="0044595C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E74542" w:rsidRPr="000473DD" w:rsidRDefault="00E74542" w:rsidP="00CA5AF0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E74542" w:rsidRPr="000473DD" w:rsidRDefault="00E74542" w:rsidP="005126CC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Successfully Completed Math 90 Prior to Gateway Course Enrollment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E74542" w:rsidRPr="000473DD" w:rsidRDefault="00E74542" w:rsidP="005126CC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Successfully Completed Math 90 Prior to Gateway Course Enrollment</w:t>
            </w:r>
          </w:p>
        </w:tc>
      </w:tr>
      <w:tr w:rsidR="00EE61CC" w:rsidRPr="000473DD" w:rsidTr="0044595C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EE61CC" w:rsidRPr="000473DD" w:rsidRDefault="00EE61CC" w:rsidP="00CA5AF0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EE61CC" w:rsidRPr="000473DD" w:rsidRDefault="00E3013D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 xml:space="preserve">Course </w:t>
            </w:r>
            <w:r w:rsidR="00EE61CC" w:rsidRPr="000473DD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 Rate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 Rate</w:t>
            </w:r>
          </w:p>
        </w:tc>
      </w:tr>
      <w:tr w:rsidR="00EE61CC" w:rsidRPr="000473DD" w:rsidTr="003B572A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Female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228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54.4</w:t>
            </w:r>
            <w:r w:rsidR="001C3EA8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20</w:t>
            </w:r>
          </w:p>
        </w:tc>
        <w:tc>
          <w:tcPr>
            <w:tcW w:w="1320" w:type="dxa"/>
            <w:vAlign w:val="center"/>
          </w:tcPr>
          <w:p w:rsidR="00EE61CC" w:rsidRPr="000473DD" w:rsidRDefault="00EE1936" w:rsidP="003B572A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55.0</w:t>
            </w:r>
            <w:r w:rsidR="001C3EA8" w:rsidRPr="000473DD">
              <w:rPr>
                <w:color w:val="000000" w:themeColor="text1"/>
              </w:rPr>
              <w:t>%</w:t>
            </w:r>
          </w:p>
        </w:tc>
      </w:tr>
      <w:tr w:rsidR="00EE61CC" w:rsidRPr="000473DD" w:rsidTr="003B572A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Male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120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47.5</w:t>
            </w:r>
            <w:r w:rsidR="001C3EA8" w:rsidRPr="000473DD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10</w:t>
            </w:r>
          </w:p>
        </w:tc>
        <w:tc>
          <w:tcPr>
            <w:tcW w:w="1320" w:type="dxa"/>
            <w:vAlign w:val="center"/>
          </w:tcPr>
          <w:p w:rsidR="00EE61CC" w:rsidRPr="000473DD" w:rsidRDefault="00EE1936" w:rsidP="003B572A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40.0</w:t>
            </w:r>
            <w:r w:rsidR="001C3EA8" w:rsidRPr="000473DD">
              <w:rPr>
                <w:color w:val="000000" w:themeColor="text1"/>
              </w:rPr>
              <w:t>%</w:t>
            </w:r>
          </w:p>
        </w:tc>
      </w:tr>
      <w:tr w:rsidR="00EE61CC" w:rsidRPr="000473DD" w:rsidTr="003B572A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Unknown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  <w:hideMark/>
          </w:tcPr>
          <w:p w:rsidR="00EE61CC" w:rsidRPr="000473DD" w:rsidRDefault="00B31357" w:rsidP="00A80A55">
            <w:pPr>
              <w:tabs>
                <w:tab w:val="left" w:pos="1362"/>
              </w:tabs>
              <w:ind w:right="48"/>
              <w:jc w:val="center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25.0%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</w:t>
            </w:r>
          </w:p>
        </w:tc>
        <w:tc>
          <w:tcPr>
            <w:tcW w:w="1320" w:type="dxa"/>
            <w:vAlign w:val="center"/>
          </w:tcPr>
          <w:p w:rsidR="00EE61CC" w:rsidRPr="000473DD" w:rsidRDefault="00B31357" w:rsidP="003B572A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100.0%</w:t>
            </w:r>
          </w:p>
        </w:tc>
      </w:tr>
      <w:tr w:rsidR="00EE61CC" w:rsidRPr="000473DD" w:rsidTr="003B572A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EE61CC" w:rsidRPr="000473DD" w:rsidRDefault="005722AF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Overall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352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BA6F7D" w:rsidP="00CA5AF0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51.7%</w:t>
            </w:r>
          </w:p>
        </w:tc>
        <w:tc>
          <w:tcPr>
            <w:tcW w:w="1320" w:type="dxa"/>
            <w:vAlign w:val="center"/>
            <w:hideMark/>
          </w:tcPr>
          <w:p w:rsidR="00EE61CC" w:rsidRPr="000473DD" w:rsidRDefault="00EE1936" w:rsidP="00CA5AF0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32</w:t>
            </w:r>
          </w:p>
        </w:tc>
        <w:tc>
          <w:tcPr>
            <w:tcW w:w="1320" w:type="dxa"/>
            <w:vAlign w:val="center"/>
          </w:tcPr>
          <w:p w:rsidR="00EE61CC" w:rsidRPr="000473DD" w:rsidRDefault="00BA6F7D" w:rsidP="003B572A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53.1%</w:t>
            </w:r>
          </w:p>
        </w:tc>
      </w:tr>
    </w:tbl>
    <w:p w:rsidR="00F632CD" w:rsidRPr="000473DD" w:rsidRDefault="00F632CD" w:rsidP="00F632CD">
      <w:pPr>
        <w:rPr>
          <w:rFonts w:ascii="Calibri" w:hAnsi="Calibri"/>
          <w:color w:val="000000" w:themeColor="text1"/>
          <w:lang w:bidi="en-US"/>
        </w:rPr>
      </w:pPr>
    </w:p>
    <w:p w:rsidR="00F632CD" w:rsidRPr="000473DD" w:rsidRDefault="00F632CD" w:rsidP="00F632CD">
      <w:pPr>
        <w:rPr>
          <w:rFonts w:ascii="Calibri" w:hAnsi="Calibri"/>
          <w:color w:val="000000" w:themeColor="text1"/>
          <w:lang w:bidi="en-US"/>
        </w:rPr>
      </w:pPr>
    </w:p>
    <w:p w:rsidR="00F632CD" w:rsidRPr="000473DD" w:rsidRDefault="00F632CD" w:rsidP="00F632CD">
      <w:pPr>
        <w:rPr>
          <w:rFonts w:ascii="Calibri" w:hAnsi="Calibri"/>
          <w:i/>
          <w:color w:val="000000" w:themeColor="text1"/>
          <w:lang w:bidi="en-US"/>
        </w:rPr>
      </w:pPr>
      <w:r w:rsidRPr="000473DD">
        <w:rPr>
          <w:rFonts w:ascii="Calibri" w:hAnsi="Calibri"/>
          <w:color w:val="000000" w:themeColor="text1"/>
          <w:lang w:bidi="en-US"/>
        </w:rPr>
        <w:t xml:space="preserve">Table </w:t>
      </w:r>
      <w:r w:rsidR="003C68C2" w:rsidRPr="000473DD">
        <w:rPr>
          <w:rFonts w:ascii="Calibri" w:hAnsi="Calibri"/>
          <w:color w:val="000000" w:themeColor="text1"/>
          <w:lang w:bidi="en-US"/>
        </w:rPr>
        <w:t>6</w:t>
      </w:r>
      <w:r w:rsidRPr="000473DD">
        <w:rPr>
          <w:rFonts w:ascii="Calibri" w:hAnsi="Calibri"/>
          <w:color w:val="000000" w:themeColor="text1"/>
          <w:lang w:bidi="en-US"/>
        </w:rPr>
        <w:t>.</w:t>
      </w:r>
      <w:r w:rsidRPr="000473DD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C118EE" w:rsidRPr="000473DD">
        <w:rPr>
          <w:rFonts w:ascii="Calibri" w:hAnsi="Calibri"/>
          <w:i/>
          <w:color w:val="000000" w:themeColor="text1"/>
          <w:lang w:bidi="en-US"/>
        </w:rPr>
        <w:t>Math 103</w:t>
      </w:r>
      <w:r w:rsidR="00140CCD" w:rsidRPr="000473DD">
        <w:rPr>
          <w:rFonts w:ascii="Calibri" w:hAnsi="Calibri"/>
          <w:i/>
          <w:color w:val="000000" w:themeColor="text1"/>
          <w:lang w:bidi="en-US"/>
        </w:rPr>
        <w:t xml:space="preserve"> &amp; </w:t>
      </w:r>
      <w:r w:rsidR="00C118EE" w:rsidRPr="000473DD">
        <w:rPr>
          <w:rFonts w:ascii="Calibri" w:hAnsi="Calibri"/>
          <w:i/>
          <w:color w:val="000000" w:themeColor="text1"/>
          <w:lang w:bidi="en-US"/>
        </w:rPr>
        <w:t xml:space="preserve">110 </w:t>
      </w:r>
      <w:r w:rsidR="00382287" w:rsidRPr="000473DD">
        <w:rPr>
          <w:rFonts w:ascii="Calibri" w:hAnsi="Calibri"/>
          <w:i/>
          <w:color w:val="000000" w:themeColor="text1"/>
          <w:lang w:bidi="en-US"/>
        </w:rPr>
        <w:t xml:space="preserve">success rates </w:t>
      </w:r>
      <w:r w:rsidR="008D102D" w:rsidRPr="000473DD">
        <w:rPr>
          <w:rFonts w:ascii="Calibri" w:hAnsi="Calibri"/>
          <w:i/>
          <w:color w:val="000000" w:themeColor="text1"/>
          <w:lang w:bidi="en-US"/>
        </w:rPr>
        <w:t>(through Spring 2009)</w:t>
      </w:r>
      <w:r w:rsidR="00382287" w:rsidRPr="000473DD">
        <w:rPr>
          <w:rFonts w:ascii="Calibri" w:hAnsi="Calibri"/>
          <w:i/>
          <w:color w:val="000000" w:themeColor="text1"/>
          <w:lang w:bidi="en-US"/>
        </w:rPr>
        <w:t xml:space="preserve"> for pre-collegiate </w:t>
      </w:r>
      <w:r w:rsidR="00E74542" w:rsidRPr="000473DD">
        <w:rPr>
          <w:rFonts w:ascii="Calibri" w:hAnsi="Calibri"/>
          <w:i/>
          <w:color w:val="000000" w:themeColor="text1"/>
          <w:lang w:bidi="en-US"/>
        </w:rPr>
        <w:t>Mat</w:t>
      </w:r>
      <w:r w:rsidR="00382287" w:rsidRPr="000473DD">
        <w:rPr>
          <w:rFonts w:ascii="Calibri" w:hAnsi="Calibri"/>
          <w:i/>
          <w:color w:val="000000" w:themeColor="text1"/>
          <w:lang w:bidi="en-US"/>
        </w:rPr>
        <w:t>h students who did and did not successfully complete the pre-collegiate sequence prior to the gateway course by ethnicity</w:t>
      </w:r>
    </w:p>
    <w:tbl>
      <w:tblPr>
        <w:tblStyle w:val="LightShading-Accent11"/>
        <w:tblW w:w="7350" w:type="dxa"/>
        <w:tblInd w:w="108" w:type="dxa"/>
        <w:tblLayout w:type="fixed"/>
        <w:tblLook w:val="04A0"/>
      </w:tblPr>
      <w:tblGrid>
        <w:gridCol w:w="2250"/>
        <w:gridCol w:w="1275"/>
        <w:gridCol w:w="1275"/>
        <w:gridCol w:w="1275"/>
        <w:gridCol w:w="1275"/>
      </w:tblGrid>
      <w:tr w:rsidR="00E74542" w:rsidRPr="000473DD" w:rsidTr="0044595C">
        <w:trPr>
          <w:cnfStyle w:val="100000000000"/>
          <w:trHeight w:val="300"/>
        </w:trPr>
        <w:tc>
          <w:tcPr>
            <w:cnfStyle w:val="001000000000"/>
            <w:tcW w:w="2250" w:type="dxa"/>
            <w:vMerge w:val="restart"/>
            <w:vAlign w:val="center"/>
            <w:hideMark/>
          </w:tcPr>
          <w:p w:rsidR="00E74542" w:rsidRPr="000473DD" w:rsidRDefault="00E74542" w:rsidP="00CA5AF0">
            <w:pPr>
              <w:jc w:val="center"/>
              <w:rPr>
                <w:color w:val="000000" w:themeColor="text1"/>
              </w:rPr>
            </w:pPr>
          </w:p>
          <w:p w:rsidR="00E74542" w:rsidRPr="000473DD" w:rsidRDefault="00E74542" w:rsidP="00CA5AF0">
            <w:pPr>
              <w:jc w:val="center"/>
              <w:rPr>
                <w:color w:val="000000" w:themeColor="text1"/>
              </w:rPr>
            </w:pPr>
          </w:p>
          <w:p w:rsidR="00E74542" w:rsidRPr="000473DD" w:rsidRDefault="00E74542" w:rsidP="00CA5AF0">
            <w:pPr>
              <w:rPr>
                <w:color w:val="000000" w:themeColor="text1"/>
              </w:rPr>
            </w:pPr>
          </w:p>
          <w:p w:rsidR="00E74542" w:rsidRPr="000473DD" w:rsidRDefault="00E74542" w:rsidP="00CA5A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0" w:type="dxa"/>
            <w:gridSpan w:val="4"/>
            <w:vAlign w:val="center"/>
          </w:tcPr>
          <w:p w:rsidR="00E74542" w:rsidRPr="000473DD" w:rsidRDefault="00E74542" w:rsidP="005126CC">
            <w:pPr>
              <w:jc w:val="center"/>
              <w:cnfStyle w:val="1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Math</w:t>
            </w:r>
            <w:r w:rsidR="003F5FBD" w:rsidRPr="000473DD">
              <w:rPr>
                <w:color w:val="000000" w:themeColor="text1"/>
              </w:rPr>
              <w:t xml:space="preserve"> 103</w:t>
            </w:r>
            <w:r w:rsidR="00700CC9" w:rsidRPr="000473DD">
              <w:rPr>
                <w:color w:val="000000" w:themeColor="text1"/>
              </w:rPr>
              <w:t>/110</w:t>
            </w:r>
            <w:r w:rsidRPr="000473DD">
              <w:rPr>
                <w:color w:val="000000" w:themeColor="text1"/>
              </w:rPr>
              <w:t xml:space="preserve"> Success Rates</w:t>
            </w:r>
          </w:p>
          <w:p w:rsidR="00E74542" w:rsidRPr="000473DD" w:rsidRDefault="00E74542" w:rsidP="005126CC">
            <w:pPr>
              <w:jc w:val="center"/>
              <w:cnfStyle w:val="100000000000"/>
              <w:rPr>
                <w:b w:val="0"/>
                <w:bCs w:val="0"/>
                <w:color w:val="000000" w:themeColor="text1"/>
              </w:rPr>
            </w:pPr>
            <w:r w:rsidRPr="000473DD">
              <w:rPr>
                <w:color w:val="000000" w:themeColor="text1"/>
              </w:rPr>
              <w:t>(Through Spring 2009)</w:t>
            </w:r>
          </w:p>
        </w:tc>
      </w:tr>
      <w:tr w:rsidR="00E74542" w:rsidRPr="000473DD" w:rsidTr="0044595C">
        <w:trPr>
          <w:cnfStyle w:val="000000100000"/>
          <w:trHeight w:val="300"/>
        </w:trPr>
        <w:tc>
          <w:tcPr>
            <w:cnfStyle w:val="001000000000"/>
            <w:tcW w:w="2250" w:type="dxa"/>
            <w:vMerge/>
            <w:hideMark/>
          </w:tcPr>
          <w:p w:rsidR="00E74542" w:rsidRPr="000473DD" w:rsidRDefault="00E74542" w:rsidP="00CA5AF0">
            <w:pPr>
              <w:rPr>
                <w:color w:val="000000" w:themeColor="text1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E74542" w:rsidRPr="000473DD" w:rsidRDefault="00E74542" w:rsidP="005126CC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Successfully Completed Math 90 Prior to Gateway Course Enrollment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E74542" w:rsidRPr="000473DD" w:rsidRDefault="00E74542" w:rsidP="005126CC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Successfully Completed Math 90 Prior to Gateway Course Enrollment</w:t>
            </w:r>
          </w:p>
        </w:tc>
      </w:tr>
      <w:tr w:rsidR="00EE61CC" w:rsidRPr="000473DD" w:rsidTr="0044595C">
        <w:trPr>
          <w:trHeight w:val="300"/>
        </w:trPr>
        <w:tc>
          <w:tcPr>
            <w:cnfStyle w:val="001000000000"/>
            <w:tcW w:w="2250" w:type="dxa"/>
            <w:vMerge/>
            <w:hideMark/>
          </w:tcPr>
          <w:p w:rsidR="00EE61CC" w:rsidRPr="000473DD" w:rsidRDefault="00EE61CC" w:rsidP="00CA5AF0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 Rate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</w:tcPr>
          <w:p w:rsidR="00EE61CC" w:rsidRPr="000473DD" w:rsidRDefault="00EE61CC" w:rsidP="00CA5AF0">
            <w:pPr>
              <w:jc w:val="center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Success Rate</w:t>
            </w:r>
          </w:p>
        </w:tc>
      </w:tr>
      <w:tr w:rsidR="00EE61CC" w:rsidRPr="000473DD" w:rsidTr="00517D5D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African-American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B31357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50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36.0%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D41143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EE61CC" w:rsidRPr="000473DD" w:rsidRDefault="00D41143" w:rsidP="00CA5AF0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28.6%</w:t>
            </w:r>
          </w:p>
        </w:tc>
      </w:tr>
      <w:tr w:rsidR="00EE61CC" w:rsidRPr="000473DD" w:rsidTr="00517D5D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Asian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B31357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57.1%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EE61CC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E61CC" w:rsidRPr="000473DD" w:rsidRDefault="00EE61CC" w:rsidP="000860D4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EE61CC" w:rsidRPr="000473DD" w:rsidTr="00517D5D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Filipino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60.0%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D41143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EE61CC" w:rsidRPr="000473DD" w:rsidRDefault="00D41143" w:rsidP="000860D4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100.0%</w:t>
            </w:r>
          </w:p>
        </w:tc>
      </w:tr>
      <w:tr w:rsidR="00EE61CC" w:rsidRPr="000473DD" w:rsidTr="00517D5D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Hispanic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91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50.5%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D41143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EE61CC" w:rsidRPr="000473DD" w:rsidRDefault="00D41143" w:rsidP="00CA5AF0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62.5%</w:t>
            </w:r>
          </w:p>
        </w:tc>
      </w:tr>
      <w:tr w:rsidR="00EE61CC" w:rsidRPr="000473DD" w:rsidTr="00517D5D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Native American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66.7%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EE61CC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E61CC" w:rsidRPr="000473DD" w:rsidRDefault="00EE61CC" w:rsidP="000860D4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EE61CC" w:rsidRPr="000473DD" w:rsidTr="00517D5D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Other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62.5%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D41143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EE61CC" w:rsidRPr="000473DD" w:rsidRDefault="00D41143" w:rsidP="00CA5AF0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50.0</w:t>
            </w:r>
            <w:r w:rsidR="006265B9" w:rsidRPr="000473DD">
              <w:rPr>
                <w:color w:val="000000" w:themeColor="text1"/>
              </w:rPr>
              <w:t>%</w:t>
            </w:r>
          </w:p>
        </w:tc>
      </w:tr>
      <w:tr w:rsidR="00EE61CC" w:rsidRPr="000473DD" w:rsidTr="00517D5D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Pacific Islander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25.0%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EE61CC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E61CC" w:rsidRPr="000473DD" w:rsidRDefault="00EE61CC" w:rsidP="000860D4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EE61CC" w:rsidRPr="000473DD" w:rsidTr="00517D5D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Unknown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47.6%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D41143" w:rsidP="00CA5AF0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EE61CC" w:rsidRPr="000473DD" w:rsidRDefault="00D41143" w:rsidP="00CA5AF0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75.0%</w:t>
            </w:r>
          </w:p>
        </w:tc>
      </w:tr>
      <w:tr w:rsidR="00EE61CC" w:rsidRPr="000473DD" w:rsidTr="00517D5D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EE61CC" w:rsidRPr="000473DD" w:rsidRDefault="00EE61CC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White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148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C8110B" w:rsidP="00517D5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57.4%</w:t>
            </w:r>
          </w:p>
        </w:tc>
        <w:tc>
          <w:tcPr>
            <w:tcW w:w="1275" w:type="dxa"/>
            <w:vAlign w:val="center"/>
            <w:hideMark/>
          </w:tcPr>
          <w:p w:rsidR="00EE61CC" w:rsidRPr="000473DD" w:rsidRDefault="00D41143" w:rsidP="00CA5AF0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:rsidR="00EE61CC" w:rsidRPr="000473DD" w:rsidRDefault="00D41143" w:rsidP="00CA5AF0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50.0%</w:t>
            </w:r>
          </w:p>
        </w:tc>
      </w:tr>
      <w:tr w:rsidR="005722AF" w:rsidRPr="000473DD" w:rsidTr="00517D5D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5722AF" w:rsidRPr="000473DD" w:rsidRDefault="005722AF" w:rsidP="00CA5AF0">
            <w:pPr>
              <w:jc w:val="right"/>
              <w:rPr>
                <w:color w:val="000000" w:themeColor="text1"/>
              </w:rPr>
            </w:pPr>
            <w:r w:rsidRPr="000473DD">
              <w:rPr>
                <w:color w:val="000000" w:themeColor="text1"/>
              </w:rPr>
              <w:t>Overall</w:t>
            </w:r>
          </w:p>
        </w:tc>
        <w:tc>
          <w:tcPr>
            <w:tcW w:w="1275" w:type="dxa"/>
            <w:vAlign w:val="center"/>
            <w:hideMark/>
          </w:tcPr>
          <w:p w:rsidR="005722AF" w:rsidRPr="000473DD" w:rsidRDefault="005722AF" w:rsidP="009C70C0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352</w:t>
            </w:r>
          </w:p>
        </w:tc>
        <w:tc>
          <w:tcPr>
            <w:tcW w:w="1275" w:type="dxa"/>
            <w:vAlign w:val="center"/>
            <w:hideMark/>
          </w:tcPr>
          <w:p w:rsidR="005722AF" w:rsidRPr="000473DD" w:rsidRDefault="005722AF" w:rsidP="00517D5D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51.7%</w:t>
            </w:r>
          </w:p>
        </w:tc>
        <w:tc>
          <w:tcPr>
            <w:tcW w:w="1275" w:type="dxa"/>
            <w:vAlign w:val="center"/>
            <w:hideMark/>
          </w:tcPr>
          <w:p w:rsidR="005722AF" w:rsidRPr="000473DD" w:rsidRDefault="005722AF" w:rsidP="009C70C0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32</w:t>
            </w:r>
          </w:p>
        </w:tc>
        <w:tc>
          <w:tcPr>
            <w:tcW w:w="1275" w:type="dxa"/>
            <w:vAlign w:val="center"/>
          </w:tcPr>
          <w:p w:rsidR="005722AF" w:rsidRPr="000473DD" w:rsidRDefault="005722AF" w:rsidP="009C70C0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473DD">
              <w:rPr>
                <w:b/>
                <w:color w:val="000000" w:themeColor="text1"/>
              </w:rPr>
              <w:t>53.1%</w:t>
            </w:r>
          </w:p>
        </w:tc>
      </w:tr>
    </w:tbl>
    <w:p w:rsidR="00E54C88" w:rsidRPr="000473DD" w:rsidRDefault="00E54C88" w:rsidP="00E54C88">
      <w:pPr>
        <w:rPr>
          <w:rFonts w:ascii="Calibri" w:hAnsi="Calibri"/>
          <w:color w:val="000000" w:themeColor="text1"/>
          <w:lang w:bidi="en-US"/>
        </w:rPr>
      </w:pPr>
    </w:p>
    <w:p w:rsidR="00930089" w:rsidRPr="000473DD" w:rsidRDefault="00930089">
      <w:pPr>
        <w:spacing w:after="200" w:line="276" w:lineRule="auto"/>
        <w:rPr>
          <w:rFonts w:ascii="Calibri" w:hAnsi="Calibri"/>
          <w:color w:val="000000" w:themeColor="text1"/>
          <w:lang w:bidi="en-US"/>
        </w:rPr>
      </w:pPr>
    </w:p>
    <w:sectPr w:rsidR="00930089" w:rsidRPr="000473DD" w:rsidSect="00174E90">
      <w:footerReference w:type="default" r:id="rId8"/>
      <w:headerReference w:type="first" r:id="rId9"/>
      <w:footerReference w:type="first" r:id="rId10"/>
      <w:pgSz w:w="12240" w:h="15840" w:code="1"/>
      <w:pgMar w:top="1152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BA" w:rsidRDefault="00EE5FBA" w:rsidP="00303A8F">
      <w:r>
        <w:separator/>
      </w:r>
    </w:p>
  </w:endnote>
  <w:endnote w:type="continuationSeparator" w:id="0">
    <w:p w:rsidR="00EE5FBA" w:rsidRDefault="00EE5FBA" w:rsidP="0030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88" w:rsidRPr="000473DD" w:rsidRDefault="00E54C88" w:rsidP="00E54C88">
    <w:pPr>
      <w:pStyle w:val="Footer"/>
      <w:jc w:val="center"/>
      <w:rPr>
        <w:color w:val="000000" w:themeColor="text1"/>
        <w:sz w:val="20"/>
        <w:szCs w:val="20"/>
      </w:rPr>
    </w:pPr>
    <w:r w:rsidRPr="000473DD">
      <w:rPr>
        <w:color w:val="000000" w:themeColor="text1"/>
        <w:sz w:val="20"/>
        <w:szCs w:val="20"/>
      </w:rPr>
      <w:ptab w:relativeTo="margin" w:alignment="center" w:leader="none"/>
    </w:r>
    <w:r w:rsidRPr="000473DD">
      <w:rPr>
        <w:color w:val="000000" w:themeColor="text1"/>
        <w:sz w:val="20"/>
        <w:szCs w:val="20"/>
      </w:rPr>
      <w:t>Grossmont-Cuyamaca Community College District</w:t>
    </w:r>
    <w:r w:rsidRPr="000473DD">
      <w:rPr>
        <w:color w:val="000000" w:themeColor="text1"/>
        <w:sz w:val="20"/>
        <w:szCs w:val="20"/>
      </w:rPr>
      <w:ptab w:relativeTo="margin" w:alignment="right" w:leader="none"/>
    </w:r>
    <w:r w:rsidR="006236EC" w:rsidRPr="000473DD">
      <w:rPr>
        <w:color w:val="000000" w:themeColor="text1"/>
        <w:sz w:val="20"/>
        <w:szCs w:val="20"/>
      </w:rPr>
      <w:fldChar w:fldCharType="begin"/>
    </w:r>
    <w:r w:rsidRPr="000473DD">
      <w:rPr>
        <w:color w:val="000000" w:themeColor="text1"/>
        <w:sz w:val="20"/>
        <w:szCs w:val="20"/>
      </w:rPr>
      <w:instrText xml:space="preserve"> PAGE   \* MERGEFORMAT </w:instrText>
    </w:r>
    <w:r w:rsidR="006236EC" w:rsidRPr="000473DD">
      <w:rPr>
        <w:color w:val="000000" w:themeColor="text1"/>
        <w:sz w:val="20"/>
        <w:szCs w:val="20"/>
      </w:rPr>
      <w:fldChar w:fldCharType="separate"/>
    </w:r>
    <w:r w:rsidR="0071117E">
      <w:rPr>
        <w:noProof/>
        <w:color w:val="000000" w:themeColor="text1"/>
        <w:sz w:val="20"/>
        <w:szCs w:val="20"/>
      </w:rPr>
      <w:t>4</w:t>
    </w:r>
    <w:r w:rsidR="006236EC" w:rsidRPr="000473DD">
      <w:rPr>
        <w:color w:val="000000" w:themeColor="text1"/>
        <w:sz w:val="20"/>
        <w:szCs w:val="20"/>
      </w:rPr>
      <w:fldChar w:fldCharType="end"/>
    </w:r>
    <w:r w:rsidRPr="000473DD">
      <w:rPr>
        <w:color w:val="000000" w:themeColor="text1"/>
        <w:sz w:val="20"/>
        <w:szCs w:val="20"/>
      </w:rPr>
      <w:t xml:space="preserve"> of </w:t>
    </w:r>
    <w:r w:rsidR="00C86002" w:rsidRPr="000473DD">
      <w:rPr>
        <w:color w:val="000000" w:themeColor="text1"/>
        <w:sz w:val="20"/>
        <w:szCs w:val="20"/>
      </w:rPr>
      <w:t>4</w:t>
    </w:r>
  </w:p>
  <w:p w:rsidR="00E54C88" w:rsidRPr="000473DD" w:rsidRDefault="00E54C88" w:rsidP="00E54C88">
    <w:pPr>
      <w:pStyle w:val="Footer"/>
      <w:jc w:val="both"/>
      <w:rPr>
        <w:color w:val="000000" w:themeColor="text1"/>
      </w:rPr>
    </w:pPr>
  </w:p>
  <w:p w:rsidR="00E54C88" w:rsidRDefault="00E54C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88" w:rsidRPr="001C3DD2" w:rsidRDefault="00E54C88" w:rsidP="00E54C88">
    <w:pPr>
      <w:pStyle w:val="Footer"/>
      <w:jc w:val="center"/>
      <w:rPr>
        <w:color w:val="000000" w:themeColor="text1"/>
        <w:sz w:val="20"/>
        <w:szCs w:val="20"/>
      </w:rPr>
    </w:pPr>
    <w:r w:rsidRPr="001C3DD2">
      <w:rPr>
        <w:color w:val="000000" w:themeColor="text1"/>
        <w:sz w:val="20"/>
        <w:szCs w:val="20"/>
      </w:rPr>
      <w:ptab w:relativeTo="margin" w:alignment="center" w:leader="none"/>
    </w:r>
    <w:r w:rsidRPr="001C3DD2">
      <w:rPr>
        <w:color w:val="000000" w:themeColor="text1"/>
        <w:sz w:val="20"/>
        <w:szCs w:val="20"/>
      </w:rPr>
      <w:t>Grossmont-Cuyamaca Community College District</w:t>
    </w:r>
    <w:r w:rsidRPr="001C3DD2">
      <w:rPr>
        <w:color w:val="000000" w:themeColor="text1"/>
        <w:sz w:val="20"/>
        <w:szCs w:val="20"/>
      </w:rPr>
      <w:ptab w:relativeTo="margin" w:alignment="right" w:leader="none"/>
    </w:r>
    <w:r w:rsidR="006236EC" w:rsidRPr="001C3DD2">
      <w:rPr>
        <w:color w:val="000000" w:themeColor="text1"/>
        <w:sz w:val="20"/>
        <w:szCs w:val="20"/>
      </w:rPr>
      <w:fldChar w:fldCharType="begin"/>
    </w:r>
    <w:r w:rsidRPr="001C3DD2">
      <w:rPr>
        <w:color w:val="000000" w:themeColor="text1"/>
        <w:sz w:val="20"/>
        <w:szCs w:val="20"/>
      </w:rPr>
      <w:instrText xml:space="preserve"> PAGE   \* MERGEFORMAT </w:instrText>
    </w:r>
    <w:r w:rsidR="006236EC" w:rsidRPr="001C3DD2">
      <w:rPr>
        <w:color w:val="000000" w:themeColor="text1"/>
        <w:sz w:val="20"/>
        <w:szCs w:val="20"/>
      </w:rPr>
      <w:fldChar w:fldCharType="separate"/>
    </w:r>
    <w:r w:rsidR="0071117E">
      <w:rPr>
        <w:noProof/>
        <w:color w:val="000000" w:themeColor="text1"/>
        <w:sz w:val="20"/>
        <w:szCs w:val="20"/>
      </w:rPr>
      <w:t>1</w:t>
    </w:r>
    <w:r w:rsidR="006236EC" w:rsidRPr="001C3DD2">
      <w:rPr>
        <w:color w:val="000000" w:themeColor="text1"/>
        <w:sz w:val="20"/>
        <w:szCs w:val="20"/>
      </w:rPr>
      <w:fldChar w:fldCharType="end"/>
    </w:r>
    <w:r w:rsidRPr="001C3DD2">
      <w:rPr>
        <w:color w:val="000000" w:themeColor="text1"/>
        <w:sz w:val="20"/>
        <w:szCs w:val="20"/>
      </w:rPr>
      <w:t xml:space="preserve"> of </w:t>
    </w:r>
    <w:r w:rsidR="004E6E24" w:rsidRPr="001C3DD2">
      <w:rPr>
        <w:color w:val="000000" w:themeColor="text1"/>
        <w:sz w:val="20"/>
        <w:szCs w:val="20"/>
      </w:rPr>
      <w:t>4</w:t>
    </w:r>
  </w:p>
  <w:p w:rsidR="00E54C88" w:rsidRDefault="00E54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BA" w:rsidRDefault="00EE5FBA" w:rsidP="00303A8F">
      <w:r>
        <w:separator/>
      </w:r>
    </w:p>
  </w:footnote>
  <w:footnote w:type="continuationSeparator" w:id="0">
    <w:p w:rsidR="00EE5FBA" w:rsidRDefault="00EE5FBA" w:rsidP="0030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88" w:rsidRDefault="00E54C88" w:rsidP="00E54C88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 w:rsidRPr="00C73467">
      <w:rPr>
        <w:b/>
        <w:color w:val="000000" w:themeColor="text1"/>
        <w:sz w:val="24"/>
        <w:szCs w:val="24"/>
      </w:rPr>
      <w:t>CLASS Supplemental Report</w:t>
    </w:r>
    <w:r w:rsidR="007101A3">
      <w:rPr>
        <w:b/>
        <w:color w:val="000000" w:themeColor="text1"/>
        <w:sz w:val="24"/>
        <w:szCs w:val="24"/>
      </w:rPr>
      <w:t xml:space="preserve"> (Addendum)</w:t>
    </w:r>
  </w:p>
  <w:p w:rsidR="00E54C88" w:rsidRPr="00C73467" w:rsidRDefault="00E54C88" w:rsidP="00E54C88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 w:rsidRPr="00C73467">
      <w:rPr>
        <w:b/>
        <w:color w:val="000000" w:themeColor="text1"/>
        <w:sz w:val="24"/>
        <w:szCs w:val="24"/>
      </w:rPr>
      <w:t>Assessment Questions</w:t>
    </w:r>
    <w:r>
      <w:rPr>
        <w:b/>
        <w:color w:val="000000" w:themeColor="text1"/>
        <w:sz w:val="24"/>
        <w:szCs w:val="24"/>
      </w:rPr>
      <w:t xml:space="preserve"> #10 and #11</w:t>
    </w:r>
  </w:p>
  <w:p w:rsidR="00454FD1" w:rsidRPr="006740CC" w:rsidRDefault="006740CC" w:rsidP="006740CC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Math Gateway Course</w:t>
    </w:r>
    <w:r w:rsidR="00542034">
      <w:rPr>
        <w:b/>
        <w:color w:val="000000" w:themeColor="text1"/>
        <w:sz w:val="24"/>
        <w:szCs w:val="24"/>
      </w:rPr>
      <w:t>: Math 103 &amp; Math 110</w:t>
    </w:r>
  </w:p>
  <w:p w:rsidR="00454FD1" w:rsidRDefault="00454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C37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B11"/>
    <w:multiLevelType w:val="hybridMultilevel"/>
    <w:tmpl w:val="7562993C"/>
    <w:lvl w:ilvl="0" w:tplc="62AE14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F24"/>
    <w:multiLevelType w:val="hybridMultilevel"/>
    <w:tmpl w:val="5C441982"/>
    <w:lvl w:ilvl="0" w:tplc="CEB6D14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140FD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49A1"/>
    <w:multiLevelType w:val="hybridMultilevel"/>
    <w:tmpl w:val="2E54B32A"/>
    <w:lvl w:ilvl="0" w:tplc="CEB6D14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E6607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729F"/>
    <w:multiLevelType w:val="hybridMultilevel"/>
    <w:tmpl w:val="EC785782"/>
    <w:lvl w:ilvl="0" w:tplc="87740C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032C9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0D6A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2BE7"/>
    <w:multiLevelType w:val="hybridMultilevel"/>
    <w:tmpl w:val="02C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03CF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550CC8"/>
    <w:rsid w:val="000024E2"/>
    <w:rsid w:val="000039C8"/>
    <w:rsid w:val="00011E82"/>
    <w:rsid w:val="00012E87"/>
    <w:rsid w:val="00014BB8"/>
    <w:rsid w:val="0002059B"/>
    <w:rsid w:val="00021C00"/>
    <w:rsid w:val="00022A65"/>
    <w:rsid w:val="00024129"/>
    <w:rsid w:val="00025136"/>
    <w:rsid w:val="0002679A"/>
    <w:rsid w:val="00026C14"/>
    <w:rsid w:val="00031B5C"/>
    <w:rsid w:val="00032419"/>
    <w:rsid w:val="000363DD"/>
    <w:rsid w:val="0003642B"/>
    <w:rsid w:val="00037299"/>
    <w:rsid w:val="0003772A"/>
    <w:rsid w:val="00041382"/>
    <w:rsid w:val="00041EDF"/>
    <w:rsid w:val="00044199"/>
    <w:rsid w:val="000473DD"/>
    <w:rsid w:val="0005502E"/>
    <w:rsid w:val="0005748D"/>
    <w:rsid w:val="000606C9"/>
    <w:rsid w:val="0006665D"/>
    <w:rsid w:val="00066A7D"/>
    <w:rsid w:val="00066DAF"/>
    <w:rsid w:val="00066DE7"/>
    <w:rsid w:val="00074B24"/>
    <w:rsid w:val="00077D77"/>
    <w:rsid w:val="00084699"/>
    <w:rsid w:val="000860D4"/>
    <w:rsid w:val="00086DF4"/>
    <w:rsid w:val="000909E8"/>
    <w:rsid w:val="00095D55"/>
    <w:rsid w:val="000962B2"/>
    <w:rsid w:val="000A13B6"/>
    <w:rsid w:val="000B0772"/>
    <w:rsid w:val="000B0903"/>
    <w:rsid w:val="000B2425"/>
    <w:rsid w:val="000B30A7"/>
    <w:rsid w:val="000B47E8"/>
    <w:rsid w:val="000B5657"/>
    <w:rsid w:val="000B6598"/>
    <w:rsid w:val="000B7E01"/>
    <w:rsid w:val="000C2002"/>
    <w:rsid w:val="000C61F0"/>
    <w:rsid w:val="000D3552"/>
    <w:rsid w:val="000D403B"/>
    <w:rsid w:val="000D5076"/>
    <w:rsid w:val="000F3917"/>
    <w:rsid w:val="000F789A"/>
    <w:rsid w:val="00100D51"/>
    <w:rsid w:val="00101963"/>
    <w:rsid w:val="0010553E"/>
    <w:rsid w:val="001057D7"/>
    <w:rsid w:val="0010598D"/>
    <w:rsid w:val="001077BD"/>
    <w:rsid w:val="00110C10"/>
    <w:rsid w:val="00112774"/>
    <w:rsid w:val="001176AE"/>
    <w:rsid w:val="00123D58"/>
    <w:rsid w:val="00125470"/>
    <w:rsid w:val="00125F01"/>
    <w:rsid w:val="00133DA1"/>
    <w:rsid w:val="001407F5"/>
    <w:rsid w:val="00140CCD"/>
    <w:rsid w:val="0014233E"/>
    <w:rsid w:val="00142923"/>
    <w:rsid w:val="00143358"/>
    <w:rsid w:val="00143381"/>
    <w:rsid w:val="00143AEE"/>
    <w:rsid w:val="00144A9D"/>
    <w:rsid w:val="001506D7"/>
    <w:rsid w:val="001515C9"/>
    <w:rsid w:val="001534CE"/>
    <w:rsid w:val="00162A06"/>
    <w:rsid w:val="00162C4B"/>
    <w:rsid w:val="00164044"/>
    <w:rsid w:val="001648CE"/>
    <w:rsid w:val="00166955"/>
    <w:rsid w:val="00170A5F"/>
    <w:rsid w:val="00170E52"/>
    <w:rsid w:val="00171857"/>
    <w:rsid w:val="00174E90"/>
    <w:rsid w:val="00182433"/>
    <w:rsid w:val="0019337E"/>
    <w:rsid w:val="001A2025"/>
    <w:rsid w:val="001A34B9"/>
    <w:rsid w:val="001A43FE"/>
    <w:rsid w:val="001A4783"/>
    <w:rsid w:val="001B3152"/>
    <w:rsid w:val="001C1AF1"/>
    <w:rsid w:val="001C22F3"/>
    <w:rsid w:val="001C3DD2"/>
    <w:rsid w:val="001C3EA8"/>
    <w:rsid w:val="001C776F"/>
    <w:rsid w:val="001C77FC"/>
    <w:rsid w:val="001D23FE"/>
    <w:rsid w:val="001D2D0D"/>
    <w:rsid w:val="001D3F45"/>
    <w:rsid w:val="001D557D"/>
    <w:rsid w:val="001D6CE6"/>
    <w:rsid w:val="001E0D40"/>
    <w:rsid w:val="001E0E07"/>
    <w:rsid w:val="001E31BF"/>
    <w:rsid w:val="001F28B5"/>
    <w:rsid w:val="001F3083"/>
    <w:rsid w:val="001F32BB"/>
    <w:rsid w:val="001F3D44"/>
    <w:rsid w:val="001F45FE"/>
    <w:rsid w:val="00200A1C"/>
    <w:rsid w:val="0020112E"/>
    <w:rsid w:val="00201B25"/>
    <w:rsid w:val="00214BDB"/>
    <w:rsid w:val="00221CFA"/>
    <w:rsid w:val="00225732"/>
    <w:rsid w:val="002351EA"/>
    <w:rsid w:val="00236D72"/>
    <w:rsid w:val="0023770B"/>
    <w:rsid w:val="0024116F"/>
    <w:rsid w:val="0025584D"/>
    <w:rsid w:val="00264AAC"/>
    <w:rsid w:val="00273DD9"/>
    <w:rsid w:val="0027599D"/>
    <w:rsid w:val="0028376E"/>
    <w:rsid w:val="0028780E"/>
    <w:rsid w:val="0029364A"/>
    <w:rsid w:val="002967B1"/>
    <w:rsid w:val="00296A4A"/>
    <w:rsid w:val="002A57E4"/>
    <w:rsid w:val="002A75C2"/>
    <w:rsid w:val="002A7B81"/>
    <w:rsid w:val="002B1762"/>
    <w:rsid w:val="002B33AC"/>
    <w:rsid w:val="002B62FD"/>
    <w:rsid w:val="002B76CC"/>
    <w:rsid w:val="002B7D74"/>
    <w:rsid w:val="002C1DA1"/>
    <w:rsid w:val="002C5913"/>
    <w:rsid w:val="002D197B"/>
    <w:rsid w:val="002D798C"/>
    <w:rsid w:val="002E2624"/>
    <w:rsid w:val="002F0A98"/>
    <w:rsid w:val="002F12F2"/>
    <w:rsid w:val="00300CA9"/>
    <w:rsid w:val="00301D58"/>
    <w:rsid w:val="00303352"/>
    <w:rsid w:val="00303A8F"/>
    <w:rsid w:val="00304E32"/>
    <w:rsid w:val="00307A8C"/>
    <w:rsid w:val="00314082"/>
    <w:rsid w:val="00333193"/>
    <w:rsid w:val="00333C98"/>
    <w:rsid w:val="0033697C"/>
    <w:rsid w:val="003421D0"/>
    <w:rsid w:val="00345108"/>
    <w:rsid w:val="00350D17"/>
    <w:rsid w:val="00353D62"/>
    <w:rsid w:val="00355D72"/>
    <w:rsid w:val="00355FD2"/>
    <w:rsid w:val="00356C80"/>
    <w:rsid w:val="00356D01"/>
    <w:rsid w:val="003579F1"/>
    <w:rsid w:val="003617C0"/>
    <w:rsid w:val="003632F0"/>
    <w:rsid w:val="00365AB1"/>
    <w:rsid w:val="003667DE"/>
    <w:rsid w:val="00367AAE"/>
    <w:rsid w:val="003700F9"/>
    <w:rsid w:val="0037346E"/>
    <w:rsid w:val="00374D4F"/>
    <w:rsid w:val="00374E0B"/>
    <w:rsid w:val="00375242"/>
    <w:rsid w:val="00382287"/>
    <w:rsid w:val="00386CB9"/>
    <w:rsid w:val="00396301"/>
    <w:rsid w:val="00396997"/>
    <w:rsid w:val="00397F94"/>
    <w:rsid w:val="003A2BB5"/>
    <w:rsid w:val="003A48AC"/>
    <w:rsid w:val="003A6BBD"/>
    <w:rsid w:val="003A72F5"/>
    <w:rsid w:val="003B1D47"/>
    <w:rsid w:val="003B2D58"/>
    <w:rsid w:val="003B37D8"/>
    <w:rsid w:val="003B4DE9"/>
    <w:rsid w:val="003B572A"/>
    <w:rsid w:val="003C4F09"/>
    <w:rsid w:val="003C68C2"/>
    <w:rsid w:val="003D000A"/>
    <w:rsid w:val="003D1F35"/>
    <w:rsid w:val="003D3C78"/>
    <w:rsid w:val="003D549E"/>
    <w:rsid w:val="003D55CE"/>
    <w:rsid w:val="003D773A"/>
    <w:rsid w:val="003E176F"/>
    <w:rsid w:val="003E4C5B"/>
    <w:rsid w:val="003E4CB2"/>
    <w:rsid w:val="003E5A77"/>
    <w:rsid w:val="003E75F7"/>
    <w:rsid w:val="003F5106"/>
    <w:rsid w:val="003F5FBD"/>
    <w:rsid w:val="00401483"/>
    <w:rsid w:val="00401A55"/>
    <w:rsid w:val="004042D4"/>
    <w:rsid w:val="004045A0"/>
    <w:rsid w:val="00413806"/>
    <w:rsid w:val="00413E8D"/>
    <w:rsid w:val="004201E3"/>
    <w:rsid w:val="00423410"/>
    <w:rsid w:val="004256F7"/>
    <w:rsid w:val="00426DBA"/>
    <w:rsid w:val="00440108"/>
    <w:rsid w:val="00441592"/>
    <w:rsid w:val="004454D1"/>
    <w:rsid w:val="0044595C"/>
    <w:rsid w:val="00447D5F"/>
    <w:rsid w:val="00454FD1"/>
    <w:rsid w:val="00455F93"/>
    <w:rsid w:val="00456744"/>
    <w:rsid w:val="00457B96"/>
    <w:rsid w:val="00460F8C"/>
    <w:rsid w:val="00465DBE"/>
    <w:rsid w:val="00471084"/>
    <w:rsid w:val="0048247A"/>
    <w:rsid w:val="00486A05"/>
    <w:rsid w:val="004873F0"/>
    <w:rsid w:val="00492094"/>
    <w:rsid w:val="0049777B"/>
    <w:rsid w:val="004A1E68"/>
    <w:rsid w:val="004A28C4"/>
    <w:rsid w:val="004A3090"/>
    <w:rsid w:val="004A7642"/>
    <w:rsid w:val="004B16D0"/>
    <w:rsid w:val="004B42B9"/>
    <w:rsid w:val="004B7BA7"/>
    <w:rsid w:val="004B7EC5"/>
    <w:rsid w:val="004C14BA"/>
    <w:rsid w:val="004C25A3"/>
    <w:rsid w:val="004C4373"/>
    <w:rsid w:val="004D03A2"/>
    <w:rsid w:val="004D3680"/>
    <w:rsid w:val="004D37E8"/>
    <w:rsid w:val="004E2CCA"/>
    <w:rsid w:val="004E45CE"/>
    <w:rsid w:val="004E5264"/>
    <w:rsid w:val="004E6E24"/>
    <w:rsid w:val="004E784F"/>
    <w:rsid w:val="004F1A11"/>
    <w:rsid w:val="004F3115"/>
    <w:rsid w:val="004F338C"/>
    <w:rsid w:val="004F4CF8"/>
    <w:rsid w:val="0050428F"/>
    <w:rsid w:val="005065E6"/>
    <w:rsid w:val="00507C13"/>
    <w:rsid w:val="00511CC5"/>
    <w:rsid w:val="00512CB9"/>
    <w:rsid w:val="00515E88"/>
    <w:rsid w:val="00517D5D"/>
    <w:rsid w:val="005204DF"/>
    <w:rsid w:val="00521245"/>
    <w:rsid w:val="00522350"/>
    <w:rsid w:val="005241B3"/>
    <w:rsid w:val="00527960"/>
    <w:rsid w:val="00530E20"/>
    <w:rsid w:val="00533DA6"/>
    <w:rsid w:val="00536FED"/>
    <w:rsid w:val="005406E2"/>
    <w:rsid w:val="00542034"/>
    <w:rsid w:val="0054401B"/>
    <w:rsid w:val="00550CC8"/>
    <w:rsid w:val="00563265"/>
    <w:rsid w:val="005636C8"/>
    <w:rsid w:val="00564D66"/>
    <w:rsid w:val="00567B27"/>
    <w:rsid w:val="005722AF"/>
    <w:rsid w:val="00573018"/>
    <w:rsid w:val="0057362E"/>
    <w:rsid w:val="00575767"/>
    <w:rsid w:val="005853E0"/>
    <w:rsid w:val="00597753"/>
    <w:rsid w:val="005A17B5"/>
    <w:rsid w:val="005A3123"/>
    <w:rsid w:val="005A3659"/>
    <w:rsid w:val="005A37DA"/>
    <w:rsid w:val="005B27DE"/>
    <w:rsid w:val="005B47E8"/>
    <w:rsid w:val="005B61B8"/>
    <w:rsid w:val="005C010B"/>
    <w:rsid w:val="005C4151"/>
    <w:rsid w:val="005C5061"/>
    <w:rsid w:val="005C79AD"/>
    <w:rsid w:val="005C7B7B"/>
    <w:rsid w:val="005D25B3"/>
    <w:rsid w:val="005D2ECE"/>
    <w:rsid w:val="005D58A3"/>
    <w:rsid w:val="005D5ED9"/>
    <w:rsid w:val="005D5FCE"/>
    <w:rsid w:val="005D65B4"/>
    <w:rsid w:val="005E0479"/>
    <w:rsid w:val="005E1E35"/>
    <w:rsid w:val="005F7ACA"/>
    <w:rsid w:val="0060481F"/>
    <w:rsid w:val="006103B2"/>
    <w:rsid w:val="00612B76"/>
    <w:rsid w:val="0061767C"/>
    <w:rsid w:val="006236EC"/>
    <w:rsid w:val="006265B9"/>
    <w:rsid w:val="0062762A"/>
    <w:rsid w:val="0063225C"/>
    <w:rsid w:val="00632583"/>
    <w:rsid w:val="00632AED"/>
    <w:rsid w:val="006405FD"/>
    <w:rsid w:val="00647C83"/>
    <w:rsid w:val="00656B22"/>
    <w:rsid w:val="0066511A"/>
    <w:rsid w:val="00665B09"/>
    <w:rsid w:val="00672A6E"/>
    <w:rsid w:val="006740CC"/>
    <w:rsid w:val="00676843"/>
    <w:rsid w:val="00676B6E"/>
    <w:rsid w:val="00677593"/>
    <w:rsid w:val="0067772F"/>
    <w:rsid w:val="006800DE"/>
    <w:rsid w:val="0068139C"/>
    <w:rsid w:val="006824D4"/>
    <w:rsid w:val="0068631E"/>
    <w:rsid w:val="00687415"/>
    <w:rsid w:val="0069077C"/>
    <w:rsid w:val="00695769"/>
    <w:rsid w:val="006A0A83"/>
    <w:rsid w:val="006A2529"/>
    <w:rsid w:val="006A307B"/>
    <w:rsid w:val="006A30D8"/>
    <w:rsid w:val="006B1567"/>
    <w:rsid w:val="006B15D1"/>
    <w:rsid w:val="006B65FB"/>
    <w:rsid w:val="006B6BD2"/>
    <w:rsid w:val="006B77E6"/>
    <w:rsid w:val="006C0BDD"/>
    <w:rsid w:val="006C7142"/>
    <w:rsid w:val="006D7210"/>
    <w:rsid w:val="006E0C81"/>
    <w:rsid w:val="006E2B41"/>
    <w:rsid w:val="006E3868"/>
    <w:rsid w:val="00700CC9"/>
    <w:rsid w:val="00704503"/>
    <w:rsid w:val="00706A41"/>
    <w:rsid w:val="007101A3"/>
    <w:rsid w:val="007102D0"/>
    <w:rsid w:val="0071117E"/>
    <w:rsid w:val="00711853"/>
    <w:rsid w:val="0072196C"/>
    <w:rsid w:val="00722F0A"/>
    <w:rsid w:val="00723453"/>
    <w:rsid w:val="007253D9"/>
    <w:rsid w:val="007320CE"/>
    <w:rsid w:val="00732E6E"/>
    <w:rsid w:val="007333B7"/>
    <w:rsid w:val="00733DCA"/>
    <w:rsid w:val="00735346"/>
    <w:rsid w:val="00747ECB"/>
    <w:rsid w:val="00752361"/>
    <w:rsid w:val="00752CFD"/>
    <w:rsid w:val="00753930"/>
    <w:rsid w:val="00762B7E"/>
    <w:rsid w:val="00766589"/>
    <w:rsid w:val="00772933"/>
    <w:rsid w:val="0078283F"/>
    <w:rsid w:val="00786343"/>
    <w:rsid w:val="00787E5E"/>
    <w:rsid w:val="00797033"/>
    <w:rsid w:val="007971C3"/>
    <w:rsid w:val="007A0F58"/>
    <w:rsid w:val="007A1FB6"/>
    <w:rsid w:val="007A59B6"/>
    <w:rsid w:val="007A5EAD"/>
    <w:rsid w:val="007A62D5"/>
    <w:rsid w:val="007B1AF3"/>
    <w:rsid w:val="007B5D53"/>
    <w:rsid w:val="007B6AD2"/>
    <w:rsid w:val="007B7588"/>
    <w:rsid w:val="007C4C6F"/>
    <w:rsid w:val="007C58EA"/>
    <w:rsid w:val="007C736D"/>
    <w:rsid w:val="007D5E07"/>
    <w:rsid w:val="007D6E02"/>
    <w:rsid w:val="007E63D5"/>
    <w:rsid w:val="007F108E"/>
    <w:rsid w:val="007F5E0F"/>
    <w:rsid w:val="007F741F"/>
    <w:rsid w:val="008059C7"/>
    <w:rsid w:val="00817840"/>
    <w:rsid w:val="00820BF1"/>
    <w:rsid w:val="00823083"/>
    <w:rsid w:val="0082584C"/>
    <w:rsid w:val="00830476"/>
    <w:rsid w:val="00836C53"/>
    <w:rsid w:val="00836DDD"/>
    <w:rsid w:val="008421FC"/>
    <w:rsid w:val="00844DEA"/>
    <w:rsid w:val="008453C5"/>
    <w:rsid w:val="00850BB3"/>
    <w:rsid w:val="00851386"/>
    <w:rsid w:val="00855782"/>
    <w:rsid w:val="00860D54"/>
    <w:rsid w:val="00861DBE"/>
    <w:rsid w:val="0086608E"/>
    <w:rsid w:val="0086799B"/>
    <w:rsid w:val="008703E7"/>
    <w:rsid w:val="00870AB5"/>
    <w:rsid w:val="00871271"/>
    <w:rsid w:val="00873DB8"/>
    <w:rsid w:val="0088041F"/>
    <w:rsid w:val="00894077"/>
    <w:rsid w:val="00894137"/>
    <w:rsid w:val="00894339"/>
    <w:rsid w:val="008A45EA"/>
    <w:rsid w:val="008A50EA"/>
    <w:rsid w:val="008B0B79"/>
    <w:rsid w:val="008B236A"/>
    <w:rsid w:val="008C1871"/>
    <w:rsid w:val="008C19E1"/>
    <w:rsid w:val="008C3117"/>
    <w:rsid w:val="008C502C"/>
    <w:rsid w:val="008C55BB"/>
    <w:rsid w:val="008C5D23"/>
    <w:rsid w:val="008C68F9"/>
    <w:rsid w:val="008C7B84"/>
    <w:rsid w:val="008D0560"/>
    <w:rsid w:val="008D102D"/>
    <w:rsid w:val="008D2BF5"/>
    <w:rsid w:val="008D4B6E"/>
    <w:rsid w:val="008D5991"/>
    <w:rsid w:val="008E091E"/>
    <w:rsid w:val="008E6F34"/>
    <w:rsid w:val="008E707F"/>
    <w:rsid w:val="008F0682"/>
    <w:rsid w:val="008F1929"/>
    <w:rsid w:val="008F2452"/>
    <w:rsid w:val="008F4EAD"/>
    <w:rsid w:val="0090048D"/>
    <w:rsid w:val="009013D6"/>
    <w:rsid w:val="009072C0"/>
    <w:rsid w:val="00910D75"/>
    <w:rsid w:val="00910E38"/>
    <w:rsid w:val="00915ED8"/>
    <w:rsid w:val="009178AB"/>
    <w:rsid w:val="00921FDA"/>
    <w:rsid w:val="009224D1"/>
    <w:rsid w:val="00922B24"/>
    <w:rsid w:val="0092505B"/>
    <w:rsid w:val="00930089"/>
    <w:rsid w:val="00931401"/>
    <w:rsid w:val="009348BC"/>
    <w:rsid w:val="00934A17"/>
    <w:rsid w:val="0094338B"/>
    <w:rsid w:val="00945BB1"/>
    <w:rsid w:val="00952CAB"/>
    <w:rsid w:val="00955BD2"/>
    <w:rsid w:val="009610BE"/>
    <w:rsid w:val="009624F8"/>
    <w:rsid w:val="00964D50"/>
    <w:rsid w:val="0096622A"/>
    <w:rsid w:val="0096683D"/>
    <w:rsid w:val="0097117B"/>
    <w:rsid w:val="00982F6C"/>
    <w:rsid w:val="00986A7F"/>
    <w:rsid w:val="00987BC7"/>
    <w:rsid w:val="00994C72"/>
    <w:rsid w:val="00994D2D"/>
    <w:rsid w:val="00997BB8"/>
    <w:rsid w:val="009A22C2"/>
    <w:rsid w:val="009A6DC0"/>
    <w:rsid w:val="009A7174"/>
    <w:rsid w:val="009A796E"/>
    <w:rsid w:val="009B1A55"/>
    <w:rsid w:val="009B387A"/>
    <w:rsid w:val="009B40BC"/>
    <w:rsid w:val="009B4ED3"/>
    <w:rsid w:val="009B7C05"/>
    <w:rsid w:val="009C7CFC"/>
    <w:rsid w:val="009C7DFD"/>
    <w:rsid w:val="009D0AEB"/>
    <w:rsid w:val="009D2680"/>
    <w:rsid w:val="009E31C8"/>
    <w:rsid w:val="009F0006"/>
    <w:rsid w:val="009F0BF6"/>
    <w:rsid w:val="009F390A"/>
    <w:rsid w:val="009F788A"/>
    <w:rsid w:val="009F78E8"/>
    <w:rsid w:val="00A051D3"/>
    <w:rsid w:val="00A07DF8"/>
    <w:rsid w:val="00A17B52"/>
    <w:rsid w:val="00A21EA5"/>
    <w:rsid w:val="00A260B5"/>
    <w:rsid w:val="00A271FC"/>
    <w:rsid w:val="00A40342"/>
    <w:rsid w:val="00A42D2F"/>
    <w:rsid w:val="00A4512C"/>
    <w:rsid w:val="00A503A8"/>
    <w:rsid w:val="00A50A07"/>
    <w:rsid w:val="00A60063"/>
    <w:rsid w:val="00A60C93"/>
    <w:rsid w:val="00A60EF2"/>
    <w:rsid w:val="00A60F6A"/>
    <w:rsid w:val="00A643EE"/>
    <w:rsid w:val="00A65D88"/>
    <w:rsid w:val="00A67306"/>
    <w:rsid w:val="00A709EE"/>
    <w:rsid w:val="00A75339"/>
    <w:rsid w:val="00A75F99"/>
    <w:rsid w:val="00A76813"/>
    <w:rsid w:val="00A80A55"/>
    <w:rsid w:val="00A80D15"/>
    <w:rsid w:val="00A958AA"/>
    <w:rsid w:val="00A97D6D"/>
    <w:rsid w:val="00AA61B1"/>
    <w:rsid w:val="00AA7BDB"/>
    <w:rsid w:val="00AB2AFB"/>
    <w:rsid w:val="00AB2FDF"/>
    <w:rsid w:val="00AB3C1A"/>
    <w:rsid w:val="00AC39D8"/>
    <w:rsid w:val="00AC6266"/>
    <w:rsid w:val="00AC6E1F"/>
    <w:rsid w:val="00AC6E9B"/>
    <w:rsid w:val="00AC6FD6"/>
    <w:rsid w:val="00AC77CD"/>
    <w:rsid w:val="00AD37D4"/>
    <w:rsid w:val="00AD4A59"/>
    <w:rsid w:val="00AD50F5"/>
    <w:rsid w:val="00AD6EF6"/>
    <w:rsid w:val="00AD76A0"/>
    <w:rsid w:val="00AE0500"/>
    <w:rsid w:val="00AE183D"/>
    <w:rsid w:val="00AE3697"/>
    <w:rsid w:val="00AE437F"/>
    <w:rsid w:val="00AF2961"/>
    <w:rsid w:val="00AF7F11"/>
    <w:rsid w:val="00B0222D"/>
    <w:rsid w:val="00B02992"/>
    <w:rsid w:val="00B06662"/>
    <w:rsid w:val="00B06F51"/>
    <w:rsid w:val="00B12C23"/>
    <w:rsid w:val="00B16163"/>
    <w:rsid w:val="00B20757"/>
    <w:rsid w:val="00B31357"/>
    <w:rsid w:val="00B32DAC"/>
    <w:rsid w:val="00B33394"/>
    <w:rsid w:val="00B34791"/>
    <w:rsid w:val="00B35877"/>
    <w:rsid w:val="00B37081"/>
    <w:rsid w:val="00B40F26"/>
    <w:rsid w:val="00B45D45"/>
    <w:rsid w:val="00B504EF"/>
    <w:rsid w:val="00B568E4"/>
    <w:rsid w:val="00B57B00"/>
    <w:rsid w:val="00B57D03"/>
    <w:rsid w:val="00B609D8"/>
    <w:rsid w:val="00B61E5D"/>
    <w:rsid w:val="00B70691"/>
    <w:rsid w:val="00B7194E"/>
    <w:rsid w:val="00B747D6"/>
    <w:rsid w:val="00B81EB2"/>
    <w:rsid w:val="00B8271F"/>
    <w:rsid w:val="00B84101"/>
    <w:rsid w:val="00B85261"/>
    <w:rsid w:val="00B87904"/>
    <w:rsid w:val="00B87F48"/>
    <w:rsid w:val="00B922D6"/>
    <w:rsid w:val="00B94741"/>
    <w:rsid w:val="00B96266"/>
    <w:rsid w:val="00B96F6B"/>
    <w:rsid w:val="00BA10DE"/>
    <w:rsid w:val="00BA4A26"/>
    <w:rsid w:val="00BA5624"/>
    <w:rsid w:val="00BA6F7D"/>
    <w:rsid w:val="00BB0375"/>
    <w:rsid w:val="00BB26FE"/>
    <w:rsid w:val="00BB315A"/>
    <w:rsid w:val="00BB4E0A"/>
    <w:rsid w:val="00BC0B9A"/>
    <w:rsid w:val="00BC15ED"/>
    <w:rsid w:val="00BE1475"/>
    <w:rsid w:val="00BE616F"/>
    <w:rsid w:val="00BE6D4F"/>
    <w:rsid w:val="00BF27BD"/>
    <w:rsid w:val="00C00952"/>
    <w:rsid w:val="00C00B65"/>
    <w:rsid w:val="00C04DB8"/>
    <w:rsid w:val="00C06622"/>
    <w:rsid w:val="00C118EE"/>
    <w:rsid w:val="00C162BC"/>
    <w:rsid w:val="00C17F6F"/>
    <w:rsid w:val="00C208E4"/>
    <w:rsid w:val="00C20A4E"/>
    <w:rsid w:val="00C241EE"/>
    <w:rsid w:val="00C31093"/>
    <w:rsid w:val="00C330AC"/>
    <w:rsid w:val="00C34AA1"/>
    <w:rsid w:val="00C35522"/>
    <w:rsid w:val="00C37837"/>
    <w:rsid w:val="00C41EBB"/>
    <w:rsid w:val="00C42988"/>
    <w:rsid w:val="00C4614B"/>
    <w:rsid w:val="00C534CC"/>
    <w:rsid w:val="00C57EF4"/>
    <w:rsid w:val="00C65C10"/>
    <w:rsid w:val="00C73467"/>
    <w:rsid w:val="00C80DD4"/>
    <w:rsid w:val="00C8110B"/>
    <w:rsid w:val="00C82CD5"/>
    <w:rsid w:val="00C86002"/>
    <w:rsid w:val="00C905E6"/>
    <w:rsid w:val="00C91793"/>
    <w:rsid w:val="00C92596"/>
    <w:rsid w:val="00C9730B"/>
    <w:rsid w:val="00CA0080"/>
    <w:rsid w:val="00CA1D35"/>
    <w:rsid w:val="00CA419F"/>
    <w:rsid w:val="00CA4C06"/>
    <w:rsid w:val="00CA5AF0"/>
    <w:rsid w:val="00CA68BE"/>
    <w:rsid w:val="00CA7E66"/>
    <w:rsid w:val="00CB12BD"/>
    <w:rsid w:val="00CB2434"/>
    <w:rsid w:val="00CB6EFB"/>
    <w:rsid w:val="00CC2F3A"/>
    <w:rsid w:val="00CC60EF"/>
    <w:rsid w:val="00CC6B24"/>
    <w:rsid w:val="00CD0BA7"/>
    <w:rsid w:val="00CD301D"/>
    <w:rsid w:val="00CD3DC4"/>
    <w:rsid w:val="00CD4316"/>
    <w:rsid w:val="00CD482F"/>
    <w:rsid w:val="00CD4EB8"/>
    <w:rsid w:val="00CE00D0"/>
    <w:rsid w:val="00CE0568"/>
    <w:rsid w:val="00CE2158"/>
    <w:rsid w:val="00CE39C6"/>
    <w:rsid w:val="00CE62FA"/>
    <w:rsid w:val="00CE655D"/>
    <w:rsid w:val="00CF3905"/>
    <w:rsid w:val="00CF3F37"/>
    <w:rsid w:val="00CF4FF8"/>
    <w:rsid w:val="00CF5315"/>
    <w:rsid w:val="00CF69E4"/>
    <w:rsid w:val="00CF7A71"/>
    <w:rsid w:val="00D040EC"/>
    <w:rsid w:val="00D07473"/>
    <w:rsid w:val="00D12C23"/>
    <w:rsid w:val="00D13990"/>
    <w:rsid w:val="00D153DE"/>
    <w:rsid w:val="00D17FBC"/>
    <w:rsid w:val="00D20A41"/>
    <w:rsid w:val="00D2314D"/>
    <w:rsid w:val="00D325EF"/>
    <w:rsid w:val="00D35145"/>
    <w:rsid w:val="00D40F4E"/>
    <w:rsid w:val="00D41034"/>
    <w:rsid w:val="00D41143"/>
    <w:rsid w:val="00D42B66"/>
    <w:rsid w:val="00D43BC9"/>
    <w:rsid w:val="00D44CE2"/>
    <w:rsid w:val="00D45913"/>
    <w:rsid w:val="00D469A2"/>
    <w:rsid w:val="00D47A28"/>
    <w:rsid w:val="00D51B4F"/>
    <w:rsid w:val="00D54B94"/>
    <w:rsid w:val="00D54F3E"/>
    <w:rsid w:val="00D5676E"/>
    <w:rsid w:val="00D6110F"/>
    <w:rsid w:val="00D619EE"/>
    <w:rsid w:val="00D6474A"/>
    <w:rsid w:val="00D65EEE"/>
    <w:rsid w:val="00D6646D"/>
    <w:rsid w:val="00D672C6"/>
    <w:rsid w:val="00D737FB"/>
    <w:rsid w:val="00D93CE8"/>
    <w:rsid w:val="00D93E73"/>
    <w:rsid w:val="00D94200"/>
    <w:rsid w:val="00DA2E1B"/>
    <w:rsid w:val="00DB0BC0"/>
    <w:rsid w:val="00DB1623"/>
    <w:rsid w:val="00DB33F3"/>
    <w:rsid w:val="00DB5365"/>
    <w:rsid w:val="00DD0B3F"/>
    <w:rsid w:val="00DD2C58"/>
    <w:rsid w:val="00DD55DD"/>
    <w:rsid w:val="00DE7F63"/>
    <w:rsid w:val="00DF1973"/>
    <w:rsid w:val="00DF63D3"/>
    <w:rsid w:val="00E00673"/>
    <w:rsid w:val="00E038BD"/>
    <w:rsid w:val="00E04153"/>
    <w:rsid w:val="00E07972"/>
    <w:rsid w:val="00E07B0A"/>
    <w:rsid w:val="00E13D62"/>
    <w:rsid w:val="00E14577"/>
    <w:rsid w:val="00E202B3"/>
    <w:rsid w:val="00E22448"/>
    <w:rsid w:val="00E2316D"/>
    <w:rsid w:val="00E26F09"/>
    <w:rsid w:val="00E3013D"/>
    <w:rsid w:val="00E30C90"/>
    <w:rsid w:val="00E30DCC"/>
    <w:rsid w:val="00E31CD8"/>
    <w:rsid w:val="00E347AD"/>
    <w:rsid w:val="00E3636D"/>
    <w:rsid w:val="00E425ED"/>
    <w:rsid w:val="00E452BB"/>
    <w:rsid w:val="00E54C88"/>
    <w:rsid w:val="00E55634"/>
    <w:rsid w:val="00E55F68"/>
    <w:rsid w:val="00E56B03"/>
    <w:rsid w:val="00E57354"/>
    <w:rsid w:val="00E57F6C"/>
    <w:rsid w:val="00E63662"/>
    <w:rsid w:val="00E64C42"/>
    <w:rsid w:val="00E67775"/>
    <w:rsid w:val="00E734C0"/>
    <w:rsid w:val="00E74542"/>
    <w:rsid w:val="00E74B62"/>
    <w:rsid w:val="00E8003D"/>
    <w:rsid w:val="00E83C97"/>
    <w:rsid w:val="00E86E8A"/>
    <w:rsid w:val="00E90E02"/>
    <w:rsid w:val="00E9392B"/>
    <w:rsid w:val="00E94A1D"/>
    <w:rsid w:val="00E95CDB"/>
    <w:rsid w:val="00E975E7"/>
    <w:rsid w:val="00EA7505"/>
    <w:rsid w:val="00EB0915"/>
    <w:rsid w:val="00EB22A8"/>
    <w:rsid w:val="00EB2C93"/>
    <w:rsid w:val="00EB3CFA"/>
    <w:rsid w:val="00EB41D7"/>
    <w:rsid w:val="00EB45DF"/>
    <w:rsid w:val="00EB49A0"/>
    <w:rsid w:val="00EC08A0"/>
    <w:rsid w:val="00EC4596"/>
    <w:rsid w:val="00ED62BC"/>
    <w:rsid w:val="00EE025B"/>
    <w:rsid w:val="00EE1936"/>
    <w:rsid w:val="00EE20F3"/>
    <w:rsid w:val="00EE46C0"/>
    <w:rsid w:val="00EE5DBF"/>
    <w:rsid w:val="00EE5FBA"/>
    <w:rsid w:val="00EE61CC"/>
    <w:rsid w:val="00EE73D4"/>
    <w:rsid w:val="00EF3775"/>
    <w:rsid w:val="00EF56BA"/>
    <w:rsid w:val="00EF764E"/>
    <w:rsid w:val="00F01129"/>
    <w:rsid w:val="00F02DC8"/>
    <w:rsid w:val="00F07FDA"/>
    <w:rsid w:val="00F10522"/>
    <w:rsid w:val="00F116BF"/>
    <w:rsid w:val="00F117B7"/>
    <w:rsid w:val="00F153E5"/>
    <w:rsid w:val="00F2229A"/>
    <w:rsid w:val="00F31040"/>
    <w:rsid w:val="00F3185A"/>
    <w:rsid w:val="00F326A3"/>
    <w:rsid w:val="00F35B5E"/>
    <w:rsid w:val="00F37A25"/>
    <w:rsid w:val="00F410EC"/>
    <w:rsid w:val="00F41E3C"/>
    <w:rsid w:val="00F5001D"/>
    <w:rsid w:val="00F50606"/>
    <w:rsid w:val="00F51DEE"/>
    <w:rsid w:val="00F547B3"/>
    <w:rsid w:val="00F54F08"/>
    <w:rsid w:val="00F568C0"/>
    <w:rsid w:val="00F568ED"/>
    <w:rsid w:val="00F61894"/>
    <w:rsid w:val="00F632CD"/>
    <w:rsid w:val="00F6449C"/>
    <w:rsid w:val="00F65146"/>
    <w:rsid w:val="00F65399"/>
    <w:rsid w:val="00F65FF3"/>
    <w:rsid w:val="00F6709A"/>
    <w:rsid w:val="00F711A5"/>
    <w:rsid w:val="00F774F9"/>
    <w:rsid w:val="00F77513"/>
    <w:rsid w:val="00F778ED"/>
    <w:rsid w:val="00F77AAB"/>
    <w:rsid w:val="00F77AFE"/>
    <w:rsid w:val="00F8015E"/>
    <w:rsid w:val="00F815BD"/>
    <w:rsid w:val="00F82303"/>
    <w:rsid w:val="00F82C6B"/>
    <w:rsid w:val="00F8742B"/>
    <w:rsid w:val="00F94BBF"/>
    <w:rsid w:val="00FA4AC6"/>
    <w:rsid w:val="00FB368B"/>
    <w:rsid w:val="00FB587B"/>
    <w:rsid w:val="00FB6996"/>
    <w:rsid w:val="00FB7B9B"/>
    <w:rsid w:val="00FC1365"/>
    <w:rsid w:val="00FC237C"/>
    <w:rsid w:val="00FD4BEC"/>
    <w:rsid w:val="00FD64B0"/>
    <w:rsid w:val="00FD70BF"/>
    <w:rsid w:val="00FD7C3E"/>
    <w:rsid w:val="00FE22E3"/>
    <w:rsid w:val="00FE3D57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C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C8"/>
    <w:pPr>
      <w:ind w:left="720"/>
    </w:pPr>
  </w:style>
  <w:style w:type="table" w:styleId="TableGrid">
    <w:name w:val="Table Grid"/>
    <w:basedOn w:val="TableNormal"/>
    <w:uiPriority w:val="59"/>
    <w:rsid w:val="0055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8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8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8F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BC1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9813-25B0-4ADC-9837-A16E955A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Sarah.Donnelly</dc:creator>
  <cp:lastModifiedBy>jerry.buckley</cp:lastModifiedBy>
  <cp:revision>2</cp:revision>
  <cp:lastPrinted>2010-07-15T17:55:00Z</cp:lastPrinted>
  <dcterms:created xsi:type="dcterms:W3CDTF">2010-07-19T19:59:00Z</dcterms:created>
  <dcterms:modified xsi:type="dcterms:W3CDTF">2010-07-19T19:59:00Z</dcterms:modified>
</cp:coreProperties>
</file>